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542" w:rsidRDefault="00143542">
      <w:pPr>
        <w:spacing w:line="276" w:lineRule="auto"/>
      </w:pPr>
    </w:p>
    <w:p w:rsidR="00143542" w:rsidRDefault="00143542">
      <w:pPr>
        <w:spacing w:line="276" w:lineRule="auto"/>
      </w:pPr>
    </w:p>
    <w:p w:rsidR="00143542" w:rsidRDefault="00F720DE">
      <w:pPr>
        <w:spacing w:before="59" w:line="242" w:lineRule="auto"/>
        <w:ind w:left="3840" w:right="381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KARTA PRZEDMIOTU (SYLABUS)</w:t>
      </w:r>
      <w:r>
        <w:rPr>
          <w:rFonts w:ascii="Times New Roman" w:eastAsia="Times New Roman" w:hAnsi="Times New Roman" w:cs="Times New Roman"/>
          <w:b/>
          <w:color w:val="000000"/>
          <w:sz w:val="23"/>
          <w:szCs w:val="23"/>
          <w:vertAlign w:val="superscript"/>
        </w:rPr>
        <w:t xml:space="preserve">1 </w:t>
      </w:r>
      <w:r>
        <w:rPr>
          <w:rFonts w:ascii="Times New Roman" w:eastAsia="Times New Roman" w:hAnsi="Times New Roman" w:cs="Times New Roman"/>
          <w:b/>
          <w:color w:val="000000"/>
          <w:sz w:val="20"/>
          <w:szCs w:val="20"/>
        </w:rPr>
        <w:t>OPIS PRZEDMIOTU</w:t>
      </w:r>
    </w:p>
    <w:tbl>
      <w:tblPr>
        <w:tblW w:w="10771" w:type="dxa"/>
        <w:tblInd w:w="99" w:type="dxa"/>
        <w:tblLayout w:type="fixed"/>
        <w:tblLook w:val="0000" w:firstRow="0" w:lastRow="0" w:firstColumn="0" w:lastColumn="0" w:noHBand="0" w:noVBand="0"/>
      </w:tblPr>
      <w:tblGrid>
        <w:gridCol w:w="1977"/>
        <w:gridCol w:w="1723"/>
        <w:gridCol w:w="1335"/>
        <w:gridCol w:w="1455"/>
        <w:gridCol w:w="1858"/>
        <w:gridCol w:w="843"/>
        <w:gridCol w:w="1580"/>
      </w:tblGrid>
      <w:tr w:rsidR="00143542">
        <w:trPr>
          <w:trHeight w:val="461"/>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1141"/>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Kod przedmiotu</w:t>
            </w:r>
          </w:p>
        </w:tc>
        <w:tc>
          <w:tcPr>
            <w:tcW w:w="1335" w:type="dxa"/>
            <w:vMerge w:val="restart"/>
            <w:tcBorders>
              <w:top w:val="single" w:sz="4" w:space="0" w:color="000000"/>
              <w:left w:val="single" w:sz="4" w:space="0" w:color="000000"/>
              <w:right w:val="single" w:sz="4" w:space="0" w:color="000000"/>
            </w:tcBorders>
          </w:tcPr>
          <w:p w:rsidR="00143542" w:rsidRDefault="00143542">
            <w:pPr>
              <w:spacing w:before="8"/>
              <w:rPr>
                <w:rFonts w:ascii="Times New Roman" w:eastAsia="Times New Roman" w:hAnsi="Times New Roman" w:cs="Times New Roman"/>
                <w:b/>
                <w:color w:val="000000"/>
                <w:sz w:val="19"/>
                <w:szCs w:val="19"/>
              </w:rPr>
            </w:pPr>
          </w:p>
          <w:p w:rsidR="00143542" w:rsidRDefault="00F720DE">
            <w:pPr>
              <w:spacing w:line="225" w:lineRule="auto"/>
              <w:ind w:left="205" w:right="204" w:firstLine="17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Nazwa przedmiotu</w:t>
            </w:r>
          </w:p>
        </w:tc>
        <w:tc>
          <w:tcPr>
            <w:tcW w:w="5736" w:type="dxa"/>
            <w:gridSpan w:val="4"/>
            <w:tcBorders>
              <w:top w:val="single" w:sz="4" w:space="0" w:color="000000"/>
              <w:left w:val="single" w:sz="4" w:space="0" w:color="000000"/>
              <w:bottom w:val="single" w:sz="4" w:space="0" w:color="000000"/>
              <w:right w:val="single" w:sz="4" w:space="0" w:color="000000"/>
            </w:tcBorders>
          </w:tcPr>
          <w:p w:rsidR="00143542" w:rsidRDefault="00F720DE">
            <w:pPr>
              <w:spacing w:before="96"/>
              <w:ind w:left="1827"/>
              <w:rPr>
                <w:rFonts w:ascii="Times New Roman" w:eastAsia="Times New Roman" w:hAnsi="Times New Roman" w:cs="Times New Roman"/>
                <w:color w:val="000000"/>
              </w:rPr>
            </w:pPr>
            <w:r>
              <w:rPr>
                <w:rFonts w:ascii="Times New Roman" w:eastAsia="Times New Roman" w:hAnsi="Times New Roman" w:cs="Times New Roman"/>
                <w:b/>
                <w:i/>
                <w:color w:val="000000"/>
              </w:rPr>
              <w:t>Diagnostyka obrazowa</w:t>
            </w:r>
          </w:p>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91"/>
              <w:ind w:left="219"/>
              <w:rPr>
                <w:rFonts w:ascii="Times New Roman" w:eastAsia="Times New Roman" w:hAnsi="Times New Roman" w:cs="Times New Roman"/>
                <w:color w:val="000000"/>
              </w:rPr>
            </w:pPr>
            <w:r>
              <w:rPr>
                <w:rFonts w:ascii="Times New Roman" w:eastAsia="Times New Roman" w:hAnsi="Times New Roman" w:cs="Times New Roman"/>
                <w:color w:val="000000"/>
              </w:rPr>
              <w:t>0912/URad/WNMiNoZ/ST-NST/F18</w:t>
            </w:r>
          </w:p>
        </w:tc>
        <w:tc>
          <w:tcPr>
            <w:tcW w:w="1335" w:type="dxa"/>
            <w:vMerge/>
            <w:tcBorders>
              <w:top w:val="single" w:sz="4" w:space="0" w:color="000000"/>
              <w:left w:val="single" w:sz="4" w:space="0" w:color="000000"/>
              <w:right w:val="single" w:sz="4" w:space="0" w:color="000000"/>
            </w:tcBorders>
          </w:tcPr>
          <w:p w:rsidR="00143542" w:rsidRDefault="00143542">
            <w:pPr>
              <w:spacing w:line="276" w:lineRule="auto"/>
              <w:rPr>
                <w:rFonts w:ascii="Times New Roman" w:eastAsia="Times New Roman" w:hAnsi="Times New Roman" w:cs="Times New Roman"/>
                <w:color w:val="000000"/>
              </w:rPr>
            </w:pPr>
          </w:p>
        </w:tc>
        <w:tc>
          <w:tcPr>
            <w:tcW w:w="5736" w:type="dxa"/>
            <w:gridSpan w:val="4"/>
            <w:tcBorders>
              <w:top w:val="single" w:sz="4" w:space="0" w:color="000000"/>
              <w:left w:val="single" w:sz="4" w:space="0" w:color="000000"/>
              <w:bottom w:val="single" w:sz="4" w:space="0" w:color="000000"/>
              <w:right w:val="single" w:sz="4" w:space="0" w:color="000000"/>
            </w:tcBorders>
          </w:tcPr>
          <w:p w:rsidR="00143542" w:rsidRDefault="00F720DE">
            <w:pPr>
              <w:spacing w:before="96"/>
              <w:ind w:left="2014"/>
              <w:rPr>
                <w:rFonts w:ascii="Times New Roman" w:eastAsia="Times New Roman" w:hAnsi="Times New Roman" w:cs="Times New Roman"/>
                <w:color w:val="000000"/>
              </w:rPr>
            </w:pPr>
            <w:proofErr w:type="spellStart"/>
            <w:r>
              <w:rPr>
                <w:rFonts w:ascii="Times New Roman" w:eastAsia="Times New Roman" w:hAnsi="Times New Roman" w:cs="Times New Roman"/>
                <w:b/>
                <w:i/>
                <w:color w:val="000000"/>
              </w:rPr>
              <w:t>Diagnostic</w:t>
            </w:r>
            <w:proofErr w:type="spellEnd"/>
            <w:r>
              <w:rPr>
                <w:rFonts w:ascii="Times New Roman" w:eastAsia="Times New Roman" w:hAnsi="Times New Roman" w:cs="Times New Roman"/>
                <w:b/>
                <w:i/>
                <w:color w:val="000000"/>
              </w:rPr>
              <w:t xml:space="preserve"> </w:t>
            </w:r>
            <w:proofErr w:type="spellStart"/>
            <w:r>
              <w:rPr>
                <w:rFonts w:ascii="Times New Roman" w:eastAsia="Times New Roman" w:hAnsi="Times New Roman" w:cs="Times New Roman"/>
                <w:b/>
                <w:i/>
                <w:color w:val="000000"/>
              </w:rPr>
              <w:t>Imaging</w:t>
            </w:r>
            <w:proofErr w:type="spellEnd"/>
          </w:p>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Język wykładowy</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00"/>
              <w:ind w:right="1"/>
              <w:jc w:val="cente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Polski</w:t>
            </w:r>
          </w:p>
        </w:tc>
      </w:tr>
      <w:tr w:rsidR="00143542">
        <w:trPr>
          <w:trHeight w:val="461"/>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Rok akademicki</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057C25">
            <w:pPr>
              <w:spacing w:before="105"/>
              <w:jc w:val="center"/>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2026/2027</w:t>
            </w:r>
          </w:p>
        </w:tc>
      </w:tr>
      <w:tr w:rsidR="00143542">
        <w:trPr>
          <w:trHeight w:val="283"/>
        </w:trPr>
        <w:tc>
          <w:tcPr>
            <w:tcW w:w="10770" w:type="dxa"/>
            <w:gridSpan w:val="7"/>
            <w:tcBorders>
              <w:top w:val="single" w:sz="4" w:space="0" w:color="000000"/>
              <w:left w:val="single" w:sz="4" w:space="0" w:color="000000"/>
              <w:bottom w:val="single" w:sz="4" w:space="0" w:color="000000"/>
              <w:right w:val="single" w:sz="4" w:space="0" w:color="000000"/>
            </w:tcBorders>
          </w:tcPr>
          <w:p w:rsidR="00143542" w:rsidRDefault="00143542"/>
        </w:tc>
      </w:tr>
      <w:tr w:rsidR="00143542">
        <w:trPr>
          <w:trHeight w:val="917"/>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10"/>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Kierunek</w:t>
            </w:r>
          </w:p>
          <w:p w:rsidR="00143542" w:rsidRDefault="00143542">
            <w:pPr>
              <w:spacing w:before="3"/>
              <w:rPr>
                <w:rFonts w:ascii="Times New Roman" w:eastAsia="Times New Roman" w:hAnsi="Times New Roman" w:cs="Times New Roman"/>
                <w:b/>
                <w:color w:val="000000"/>
                <w:sz w:val="19"/>
                <w:szCs w:val="19"/>
              </w:rPr>
            </w:pPr>
          </w:p>
          <w:p w:rsidR="00143542" w:rsidRDefault="00F720DE">
            <w:pPr>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w zakresie</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05"/>
              <w:ind w:left="3"/>
              <w:jc w:val="cente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Lekarski</w:t>
            </w:r>
          </w:p>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10"/>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Poziom studiów</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05"/>
              <w:ind w:right="1"/>
              <w:jc w:val="cente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Studia jednolite magisterskie</w:t>
            </w:r>
          </w:p>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Profil studiów</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00"/>
              <w:ind w:left="2"/>
              <w:jc w:val="cente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Ogólnoakademicki</w:t>
            </w:r>
          </w:p>
        </w:tc>
      </w:tr>
      <w:tr w:rsidR="00143542">
        <w:trPr>
          <w:trHeight w:val="461"/>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Forma studiów</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00"/>
              <w:ind w:left="3"/>
              <w:jc w:val="cente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Stacjonarne/Niestacjonarne</w:t>
            </w:r>
          </w:p>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10"/>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Semestr/ semestry</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05"/>
              <w:jc w:val="cente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X letni</w:t>
            </w:r>
          </w:p>
        </w:tc>
      </w:tr>
      <w:tr w:rsidR="00143542">
        <w:trPr>
          <w:trHeight w:val="326"/>
        </w:trPr>
        <w:tc>
          <w:tcPr>
            <w:tcW w:w="10770" w:type="dxa"/>
            <w:gridSpan w:val="7"/>
            <w:tcBorders>
              <w:top w:val="single" w:sz="4" w:space="0" w:color="000000"/>
              <w:left w:val="single" w:sz="4" w:space="0" w:color="000000"/>
              <w:bottom w:val="single" w:sz="4" w:space="0" w:color="000000"/>
              <w:right w:val="single" w:sz="4" w:space="0" w:color="000000"/>
            </w:tcBorders>
          </w:tcPr>
          <w:p w:rsidR="00143542" w:rsidRDefault="00143542"/>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10"/>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Przynależność do grupy zajęć</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05"/>
              <w:ind w:left="2058"/>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Moduł F: Nauki kliniczne zabiegowe</w:t>
            </w:r>
          </w:p>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Status przedmiotu</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00"/>
              <w:jc w:val="cente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Obowiązkowy</w:t>
            </w:r>
          </w:p>
        </w:tc>
      </w:tr>
      <w:tr w:rsidR="00143542">
        <w:trPr>
          <w:trHeight w:val="466"/>
        </w:trPr>
        <w:tc>
          <w:tcPr>
            <w:tcW w:w="3699" w:type="dxa"/>
            <w:gridSpan w:val="2"/>
            <w:vMerge w:val="restart"/>
            <w:tcBorders>
              <w:top w:val="single" w:sz="4" w:space="0" w:color="000000"/>
              <w:left w:val="single" w:sz="4" w:space="0" w:color="000000"/>
              <w:right w:val="single" w:sz="4" w:space="0" w:color="000000"/>
            </w:tcBorders>
          </w:tcPr>
          <w:p w:rsidR="00143542" w:rsidRDefault="00143542">
            <w:pPr>
              <w:rPr>
                <w:rFonts w:ascii="Times New Roman" w:eastAsia="Times New Roman" w:hAnsi="Times New Roman" w:cs="Times New Roman"/>
                <w:b/>
                <w:color w:val="000000"/>
                <w:sz w:val="20"/>
                <w:szCs w:val="20"/>
              </w:rPr>
            </w:pPr>
          </w:p>
          <w:p w:rsidR="00143542" w:rsidRDefault="00143542">
            <w:pPr>
              <w:spacing w:before="7"/>
              <w:rPr>
                <w:rFonts w:ascii="Times New Roman" w:eastAsia="Times New Roman" w:hAnsi="Times New Roman" w:cs="Times New Roman"/>
                <w:b/>
                <w:color w:val="000000"/>
                <w:sz w:val="19"/>
                <w:szCs w:val="19"/>
              </w:rPr>
            </w:pPr>
          </w:p>
          <w:p w:rsidR="00143542" w:rsidRDefault="00F720DE">
            <w:pPr>
              <w:ind w:left="80" w:right="316"/>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Formy realizacji zajęć dydaktycznych, wymiar, punkty ECTS</w:t>
            </w:r>
          </w:p>
        </w:tc>
        <w:tc>
          <w:tcPr>
            <w:tcW w:w="2790"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89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Forma zajęć</w:t>
            </w:r>
          </w:p>
        </w:tc>
        <w:tc>
          <w:tcPr>
            <w:tcW w:w="1858" w:type="dxa"/>
            <w:tcBorders>
              <w:top w:val="single" w:sz="4" w:space="0" w:color="000000"/>
              <w:left w:val="single" w:sz="4" w:space="0" w:color="000000"/>
              <w:bottom w:val="single" w:sz="4" w:space="0" w:color="000000"/>
              <w:right w:val="single" w:sz="4" w:space="0" w:color="000000"/>
            </w:tcBorders>
          </w:tcPr>
          <w:p w:rsidR="00143542" w:rsidRDefault="00F720DE">
            <w:pPr>
              <w:ind w:left="315" w:right="118" w:hanging="1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Liczba godzin zajęć dydaktycznych</w:t>
            </w:r>
          </w:p>
        </w:tc>
        <w:tc>
          <w:tcPr>
            <w:tcW w:w="2423"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291"/>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Liczba punktów ECTS</w:t>
            </w:r>
          </w:p>
        </w:tc>
      </w:tr>
      <w:tr w:rsidR="00143542">
        <w:trPr>
          <w:trHeight w:val="466"/>
        </w:trPr>
        <w:tc>
          <w:tcPr>
            <w:tcW w:w="3699" w:type="dxa"/>
            <w:gridSpan w:val="2"/>
            <w:vMerge/>
            <w:tcBorders>
              <w:top w:val="single" w:sz="4" w:space="0" w:color="000000"/>
              <w:left w:val="single" w:sz="4" w:space="0" w:color="000000"/>
              <w:right w:val="single" w:sz="4" w:space="0" w:color="000000"/>
            </w:tcBorders>
          </w:tcPr>
          <w:p w:rsidR="00143542" w:rsidRDefault="00143542">
            <w:pPr>
              <w:spacing w:line="276" w:lineRule="auto"/>
              <w:rPr>
                <w:rFonts w:ascii="Times New Roman" w:eastAsia="Times New Roman" w:hAnsi="Times New Roman" w:cs="Times New Roman"/>
                <w:color w:val="000000"/>
                <w:sz w:val="20"/>
                <w:szCs w:val="20"/>
              </w:rPr>
            </w:pPr>
          </w:p>
        </w:tc>
        <w:tc>
          <w:tcPr>
            <w:tcW w:w="2790"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23"/>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 kliniczne</w:t>
            </w:r>
          </w:p>
          <w:p w:rsidR="008A0113" w:rsidRDefault="008A0113">
            <w:pPr>
              <w:spacing w:before="105"/>
              <w:ind w:left="23"/>
              <w:rPr>
                <w:rFonts w:ascii="Times New Roman" w:eastAsia="Times New Roman" w:hAnsi="Times New Roman" w:cs="Times New Roman"/>
                <w:color w:val="000000"/>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143542" w:rsidRDefault="00F720DE">
            <w:pPr>
              <w:spacing w:before="105"/>
              <w:ind w:left="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45 h</w:t>
            </w:r>
          </w:p>
        </w:tc>
        <w:tc>
          <w:tcPr>
            <w:tcW w:w="2423" w:type="dxa"/>
            <w:gridSpan w:val="2"/>
            <w:vMerge w:val="restart"/>
            <w:tcBorders>
              <w:top w:val="single" w:sz="4" w:space="0" w:color="000000"/>
              <w:left w:val="single" w:sz="4" w:space="0" w:color="000000"/>
              <w:right w:val="single" w:sz="4" w:space="0" w:color="000000"/>
            </w:tcBorders>
          </w:tcPr>
          <w:p w:rsidR="00143542" w:rsidRDefault="00143542">
            <w:pPr>
              <w:spacing w:before="2"/>
              <w:rPr>
                <w:rFonts w:ascii="Times New Roman" w:eastAsia="Times New Roman" w:hAnsi="Times New Roman" w:cs="Times New Roman"/>
                <w:b/>
                <w:color w:val="000000"/>
                <w:sz w:val="29"/>
                <w:szCs w:val="29"/>
              </w:rPr>
            </w:pPr>
          </w:p>
          <w:p w:rsidR="00143542" w:rsidRDefault="008A0113">
            <w:pPr>
              <w:ind w:left="5"/>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r w:rsidR="00F720DE">
              <w:rPr>
                <w:rFonts w:ascii="Times New Roman" w:eastAsia="Times New Roman" w:hAnsi="Times New Roman" w:cs="Times New Roman"/>
                <w:color w:val="000000"/>
                <w:sz w:val="20"/>
                <w:szCs w:val="20"/>
              </w:rPr>
              <w:t xml:space="preserve"> ECTS</w:t>
            </w:r>
          </w:p>
        </w:tc>
      </w:tr>
      <w:tr w:rsidR="00143542">
        <w:trPr>
          <w:trHeight w:val="466"/>
        </w:trPr>
        <w:tc>
          <w:tcPr>
            <w:tcW w:w="3699" w:type="dxa"/>
            <w:gridSpan w:val="2"/>
            <w:vMerge/>
            <w:tcBorders>
              <w:top w:val="single" w:sz="4" w:space="0" w:color="000000"/>
              <w:left w:val="single" w:sz="4" w:space="0" w:color="000000"/>
              <w:right w:val="single" w:sz="4" w:space="0" w:color="000000"/>
            </w:tcBorders>
          </w:tcPr>
          <w:p w:rsidR="00143542" w:rsidRDefault="00143542">
            <w:pPr>
              <w:spacing w:line="276" w:lineRule="auto"/>
              <w:rPr>
                <w:rFonts w:ascii="Times New Roman" w:eastAsia="Times New Roman" w:hAnsi="Times New Roman" w:cs="Times New Roman"/>
                <w:color w:val="000000"/>
                <w:sz w:val="20"/>
                <w:szCs w:val="20"/>
              </w:rPr>
            </w:pPr>
          </w:p>
        </w:tc>
        <w:tc>
          <w:tcPr>
            <w:tcW w:w="2790"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23"/>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858" w:type="dxa"/>
            <w:tcBorders>
              <w:top w:val="single" w:sz="4" w:space="0" w:color="000000"/>
              <w:left w:val="single" w:sz="4" w:space="0" w:color="000000"/>
              <w:bottom w:val="single" w:sz="4" w:space="0" w:color="000000"/>
              <w:right w:val="single" w:sz="4" w:space="0" w:color="000000"/>
            </w:tcBorders>
          </w:tcPr>
          <w:p w:rsidR="00143542" w:rsidRDefault="00F720DE">
            <w:pPr>
              <w:spacing w:before="105"/>
              <w:ind w:left="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45 h</w:t>
            </w:r>
          </w:p>
        </w:tc>
        <w:tc>
          <w:tcPr>
            <w:tcW w:w="2423" w:type="dxa"/>
            <w:gridSpan w:val="2"/>
            <w:vMerge/>
            <w:tcBorders>
              <w:top w:val="single" w:sz="4" w:space="0" w:color="000000"/>
              <w:left w:val="single" w:sz="4" w:space="0" w:color="000000"/>
              <w:right w:val="single" w:sz="4" w:space="0" w:color="000000"/>
            </w:tcBorders>
          </w:tcPr>
          <w:p w:rsidR="00143542" w:rsidRDefault="00143542">
            <w:pPr>
              <w:spacing w:line="276" w:lineRule="auto"/>
              <w:rPr>
                <w:rFonts w:ascii="Times New Roman" w:eastAsia="Times New Roman" w:hAnsi="Times New Roman" w:cs="Times New Roman"/>
                <w:color w:val="000000"/>
                <w:sz w:val="20"/>
                <w:szCs w:val="20"/>
              </w:rPr>
            </w:pPr>
          </w:p>
        </w:tc>
      </w:tr>
      <w:tr w:rsidR="00143542">
        <w:trPr>
          <w:trHeight w:val="1046"/>
        </w:trPr>
        <w:tc>
          <w:tcPr>
            <w:tcW w:w="1976" w:type="dxa"/>
            <w:vMerge w:val="restart"/>
            <w:tcBorders>
              <w:top w:val="single" w:sz="4" w:space="0" w:color="000000"/>
              <w:left w:val="single" w:sz="4" w:space="0" w:color="000000"/>
              <w:right w:val="single" w:sz="4" w:space="0" w:color="000000"/>
            </w:tcBorders>
          </w:tcPr>
          <w:p w:rsidR="00143542" w:rsidRDefault="00143542">
            <w:pPr>
              <w:rPr>
                <w:rFonts w:ascii="Times New Roman" w:eastAsia="Times New Roman" w:hAnsi="Times New Roman" w:cs="Times New Roman"/>
                <w:b/>
                <w:color w:val="000000"/>
                <w:sz w:val="20"/>
                <w:szCs w:val="20"/>
              </w:rPr>
            </w:pPr>
          </w:p>
          <w:p w:rsidR="00143542" w:rsidRDefault="00143542">
            <w:pPr>
              <w:spacing w:before="1"/>
              <w:rPr>
                <w:rFonts w:ascii="Times New Roman" w:eastAsia="Times New Roman" w:hAnsi="Times New Roman" w:cs="Times New Roman"/>
                <w:b/>
                <w:color w:val="000000"/>
                <w:sz w:val="27"/>
                <w:szCs w:val="27"/>
              </w:rPr>
            </w:pPr>
          </w:p>
          <w:p w:rsidR="00143542" w:rsidRDefault="00F720DE">
            <w:pPr>
              <w:ind w:left="80" w:right="893"/>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Powiązanie przedmiotu</w:t>
            </w:r>
          </w:p>
        </w:tc>
        <w:tc>
          <w:tcPr>
            <w:tcW w:w="1723" w:type="dxa"/>
            <w:tcBorders>
              <w:top w:val="single" w:sz="4" w:space="0" w:color="000000"/>
              <w:left w:val="single" w:sz="4" w:space="0" w:color="000000"/>
              <w:bottom w:val="single" w:sz="4" w:space="0" w:color="000000"/>
              <w:right w:val="single" w:sz="4" w:space="0" w:color="000000"/>
            </w:tcBorders>
          </w:tcPr>
          <w:p w:rsidR="00143542" w:rsidRDefault="00143542">
            <w:pPr>
              <w:spacing w:before="5"/>
              <w:rPr>
                <w:rFonts w:ascii="Times New Roman" w:eastAsia="Times New Roman" w:hAnsi="Times New Roman" w:cs="Times New Roman"/>
                <w:b/>
                <w:color w:val="000000"/>
                <w:sz w:val="32"/>
                <w:szCs w:val="32"/>
              </w:rPr>
            </w:pPr>
          </w:p>
          <w:p w:rsidR="00143542" w:rsidRDefault="00F720DE">
            <w:pPr>
              <w:ind w:left="23"/>
              <w:rPr>
                <w:rFonts w:ascii="Times New Roman" w:eastAsia="Times New Roman" w:hAnsi="Times New Roman" w:cs="Times New Roman"/>
                <w:color w:val="000000"/>
                <w:sz w:val="13"/>
                <w:szCs w:val="13"/>
              </w:rPr>
            </w:pPr>
            <w:r>
              <w:rPr>
                <w:rFonts w:ascii="Times New Roman" w:eastAsia="Times New Roman" w:hAnsi="Times New Roman" w:cs="Times New Roman"/>
                <w:b/>
                <w:color w:val="000000"/>
                <w:sz w:val="20"/>
                <w:szCs w:val="20"/>
              </w:rPr>
              <w:t>z profilem studiów</w:t>
            </w:r>
            <w:r>
              <w:rPr>
                <w:rFonts w:ascii="Times New Roman" w:eastAsia="Times New Roman" w:hAnsi="Times New Roman" w:cs="Times New Roman"/>
                <w:b/>
                <w:color w:val="000000"/>
                <w:sz w:val="21"/>
                <w:szCs w:val="21"/>
                <w:vertAlign w:val="superscript"/>
              </w:rPr>
              <w:t>2</w:t>
            </w:r>
          </w:p>
        </w:tc>
        <w:tc>
          <w:tcPr>
            <w:tcW w:w="5491" w:type="dxa"/>
            <w:gridSpan w:val="4"/>
            <w:tcBorders>
              <w:top w:val="single" w:sz="4" w:space="0" w:color="000000"/>
              <w:left w:val="single" w:sz="4" w:space="0" w:color="000000"/>
              <w:bottom w:val="single" w:sz="4" w:space="0" w:color="000000"/>
              <w:right w:val="single" w:sz="4" w:space="0" w:color="000000"/>
            </w:tcBorders>
          </w:tcPr>
          <w:p w:rsidR="00143542" w:rsidRDefault="00F720DE">
            <w:pPr>
              <w:spacing w:before="82" w:line="237" w:lineRule="auto"/>
              <w:ind w:left="80" w:right="468"/>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Przedmiot związany z prowadzoną w Uczelni działalnością naukową i uwzględnia udział studentów w zajęciach przygotowujących do prowadzenia działalności naukowej lub udział w tej działalności.</w:t>
            </w:r>
          </w:p>
        </w:tc>
        <w:tc>
          <w:tcPr>
            <w:tcW w:w="1580" w:type="dxa"/>
            <w:tcBorders>
              <w:top w:val="single" w:sz="4" w:space="0" w:color="000000"/>
              <w:left w:val="single" w:sz="4" w:space="0" w:color="000000"/>
              <w:bottom w:val="single" w:sz="4" w:space="0" w:color="000000"/>
              <w:right w:val="single" w:sz="4" w:space="0" w:color="000000"/>
            </w:tcBorders>
          </w:tcPr>
          <w:p w:rsidR="00143542" w:rsidRDefault="00143542">
            <w:pPr>
              <w:rPr>
                <w:rFonts w:ascii="Times New Roman" w:eastAsia="Times New Roman" w:hAnsi="Times New Roman" w:cs="Times New Roman"/>
                <w:b/>
                <w:color w:val="000000"/>
                <w:sz w:val="20"/>
                <w:szCs w:val="20"/>
              </w:rPr>
            </w:pPr>
          </w:p>
          <w:p w:rsidR="00143542" w:rsidRDefault="00F720DE">
            <w:pPr>
              <w:spacing w:before="163"/>
              <w:ind w:left="46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ECTS</w:t>
            </w:r>
          </w:p>
        </w:tc>
      </w:tr>
      <w:tr w:rsidR="00143542">
        <w:trPr>
          <w:trHeight w:val="518"/>
        </w:trPr>
        <w:tc>
          <w:tcPr>
            <w:tcW w:w="1976" w:type="dxa"/>
            <w:vMerge/>
            <w:tcBorders>
              <w:top w:val="single" w:sz="4" w:space="0" w:color="000000"/>
              <w:left w:val="single" w:sz="4" w:space="0" w:color="000000"/>
              <w:right w:val="single" w:sz="4" w:space="0" w:color="000000"/>
            </w:tcBorders>
          </w:tcPr>
          <w:p w:rsidR="00143542" w:rsidRDefault="00143542">
            <w:pPr>
              <w:spacing w:line="276" w:lineRule="auto"/>
              <w:rPr>
                <w:rFonts w:ascii="Times New Roman" w:eastAsia="Times New Roman" w:hAnsi="Times New Roman" w:cs="Times New Roman"/>
                <w:color w:val="000000"/>
                <w:sz w:val="20"/>
                <w:szCs w:val="20"/>
              </w:rPr>
            </w:pPr>
          </w:p>
        </w:tc>
        <w:tc>
          <w:tcPr>
            <w:tcW w:w="1723" w:type="dxa"/>
            <w:tcBorders>
              <w:top w:val="single" w:sz="4" w:space="0" w:color="000000"/>
              <w:left w:val="single" w:sz="4" w:space="0" w:color="000000"/>
              <w:bottom w:val="single" w:sz="4" w:space="0" w:color="000000"/>
              <w:right w:val="single" w:sz="4" w:space="0" w:color="000000"/>
            </w:tcBorders>
          </w:tcPr>
          <w:p w:rsidR="00143542" w:rsidRDefault="00F720DE">
            <w:pPr>
              <w:spacing w:before="109"/>
              <w:ind w:left="23"/>
              <w:rPr>
                <w:rFonts w:ascii="Times New Roman" w:eastAsia="Times New Roman" w:hAnsi="Times New Roman" w:cs="Times New Roman"/>
                <w:color w:val="000000"/>
                <w:sz w:val="13"/>
                <w:szCs w:val="13"/>
              </w:rPr>
            </w:pPr>
            <w:r>
              <w:rPr>
                <w:rFonts w:ascii="Times New Roman" w:eastAsia="Times New Roman" w:hAnsi="Times New Roman" w:cs="Times New Roman"/>
                <w:b/>
                <w:color w:val="000000"/>
                <w:sz w:val="20"/>
                <w:szCs w:val="20"/>
              </w:rPr>
              <w:t>z dyscypliną</w:t>
            </w:r>
            <w:r>
              <w:rPr>
                <w:rFonts w:ascii="Times New Roman" w:eastAsia="Times New Roman" w:hAnsi="Times New Roman" w:cs="Times New Roman"/>
                <w:b/>
                <w:color w:val="000000"/>
                <w:sz w:val="21"/>
                <w:szCs w:val="21"/>
                <w:vertAlign w:val="superscript"/>
              </w:rPr>
              <w:t>3</w:t>
            </w:r>
          </w:p>
        </w:tc>
        <w:tc>
          <w:tcPr>
            <w:tcW w:w="5491" w:type="dxa"/>
            <w:gridSpan w:val="4"/>
            <w:tcBorders>
              <w:top w:val="single" w:sz="4" w:space="0" w:color="000000"/>
              <w:left w:val="single" w:sz="4" w:space="0" w:color="000000"/>
              <w:bottom w:val="single" w:sz="4" w:space="0" w:color="000000"/>
              <w:right w:val="single" w:sz="4" w:space="0" w:color="000000"/>
            </w:tcBorders>
          </w:tcPr>
          <w:p w:rsidR="00143542" w:rsidRDefault="00F720DE">
            <w:pPr>
              <w:spacing w:before="162"/>
              <w:ind w:left="8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Nauki medyczne</w:t>
            </w:r>
          </w:p>
        </w:tc>
        <w:tc>
          <w:tcPr>
            <w:tcW w:w="1580" w:type="dxa"/>
            <w:tcBorders>
              <w:top w:val="single" w:sz="4" w:space="0" w:color="000000"/>
              <w:left w:val="single" w:sz="4" w:space="0" w:color="000000"/>
              <w:bottom w:val="single" w:sz="4" w:space="0" w:color="000000"/>
              <w:right w:val="single" w:sz="4" w:space="0" w:color="000000"/>
            </w:tcBorders>
          </w:tcPr>
          <w:p w:rsidR="00143542" w:rsidRDefault="008A0113">
            <w:pPr>
              <w:spacing w:before="129"/>
              <w:ind w:left="46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r w:rsidR="00F720DE">
              <w:rPr>
                <w:rFonts w:ascii="Times New Roman" w:eastAsia="Times New Roman" w:hAnsi="Times New Roman" w:cs="Times New Roman"/>
                <w:color w:val="000000"/>
                <w:sz w:val="20"/>
                <w:szCs w:val="20"/>
              </w:rPr>
              <w:t xml:space="preserve"> ECTS</w:t>
            </w:r>
          </w:p>
        </w:tc>
      </w:tr>
      <w:tr w:rsidR="00143542">
        <w:trPr>
          <w:trHeight w:val="590"/>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47"/>
              <w:ind w:left="80"/>
              <w:rPr>
                <w:rFonts w:ascii="Times New Roman" w:eastAsia="Times New Roman" w:hAnsi="Times New Roman" w:cs="Times New Roman"/>
                <w:color w:val="000000"/>
                <w:sz w:val="13"/>
                <w:szCs w:val="13"/>
              </w:rPr>
            </w:pPr>
            <w:r>
              <w:rPr>
                <w:rFonts w:ascii="Times New Roman" w:eastAsia="Times New Roman" w:hAnsi="Times New Roman" w:cs="Times New Roman"/>
                <w:b/>
                <w:color w:val="000000"/>
                <w:sz w:val="20"/>
                <w:szCs w:val="20"/>
              </w:rPr>
              <w:t>Forma nauczania</w:t>
            </w:r>
            <w:r>
              <w:rPr>
                <w:rFonts w:ascii="Times New Roman" w:eastAsia="Times New Roman" w:hAnsi="Times New Roman" w:cs="Times New Roman"/>
                <w:b/>
                <w:color w:val="000000"/>
                <w:sz w:val="21"/>
                <w:szCs w:val="21"/>
                <w:vertAlign w:val="superscript"/>
              </w:rPr>
              <w:t>4</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52"/>
              <w:ind w:left="8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Seminaria: tradycyjna: zajęcia w siedzibie Uczelni</w:t>
            </w:r>
          </w:p>
          <w:p w:rsidR="00143542" w:rsidRDefault="00F720DE">
            <w:pPr>
              <w:spacing w:before="63"/>
              <w:ind w:left="8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Ćwiczenia kliniczne: zajęcia realizowane w szpitalu</w:t>
            </w:r>
          </w:p>
        </w:tc>
      </w:tr>
      <w:tr w:rsidR="00143542">
        <w:trPr>
          <w:trHeight w:val="562"/>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53"/>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Wymagania wstępne</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33"/>
              <w:ind w:left="80" w:right="17"/>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Realizacja   efektów   kształcenia   w   zakresie   wiedzy,   umiejętności,   kompetencji społecznych z poprzednich semestrów studiów.</w:t>
            </w:r>
          </w:p>
        </w:tc>
      </w:tr>
      <w:tr w:rsidR="00143542">
        <w:trPr>
          <w:trHeight w:val="322"/>
        </w:trPr>
        <w:tc>
          <w:tcPr>
            <w:tcW w:w="10770" w:type="dxa"/>
            <w:gridSpan w:val="7"/>
            <w:tcBorders>
              <w:top w:val="single" w:sz="4" w:space="0" w:color="000000"/>
              <w:left w:val="single" w:sz="4" w:space="0" w:color="000000"/>
              <w:bottom w:val="single" w:sz="4" w:space="0" w:color="000000"/>
              <w:right w:val="single" w:sz="4" w:space="0" w:color="000000"/>
            </w:tcBorders>
          </w:tcPr>
          <w:p w:rsidR="00143542" w:rsidRDefault="00143542"/>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Jednostka prowadząca</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34"/>
              <w:ind w:left="8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Wydział Nauk Medycznych i Nauk o Zdrowiu</w:t>
            </w:r>
          </w:p>
        </w:tc>
      </w:tr>
      <w:tr w:rsidR="00143542">
        <w:trPr>
          <w:trHeight w:val="461"/>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Koordynator</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34"/>
              <w:ind w:left="8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Dr n. med. Krzysztof Batycki</w:t>
            </w:r>
          </w:p>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10"/>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Adres strony internetowej </w:t>
            </w:r>
            <w:proofErr w:type="spellStart"/>
            <w:r>
              <w:rPr>
                <w:rFonts w:ascii="Times New Roman" w:eastAsia="Times New Roman" w:hAnsi="Times New Roman" w:cs="Times New Roman"/>
                <w:b/>
                <w:color w:val="000000"/>
                <w:sz w:val="20"/>
                <w:szCs w:val="20"/>
              </w:rPr>
              <w:t>pjo</w:t>
            </w:r>
            <w:proofErr w:type="spellEnd"/>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F720DE">
            <w:pPr>
              <w:spacing w:before="138"/>
              <w:ind w:left="8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https://wnminoz.uniwersytetradom.pl/</w:t>
            </w:r>
          </w:p>
        </w:tc>
      </w:tr>
      <w:tr w:rsidR="00143542">
        <w:trPr>
          <w:trHeight w:val="466"/>
        </w:trPr>
        <w:tc>
          <w:tcPr>
            <w:tcW w:w="3699" w:type="dxa"/>
            <w:gridSpan w:val="2"/>
            <w:tcBorders>
              <w:top w:val="single" w:sz="4" w:space="0" w:color="000000"/>
              <w:left w:val="single" w:sz="4" w:space="0" w:color="000000"/>
              <w:bottom w:val="single" w:sz="4" w:space="0" w:color="000000"/>
              <w:right w:val="single" w:sz="4" w:space="0" w:color="000000"/>
            </w:tcBorders>
          </w:tcPr>
          <w:p w:rsidR="00143542" w:rsidRDefault="00F720DE">
            <w:pPr>
              <w:spacing w:before="105"/>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Adres e-mail koordynatora</w:t>
            </w:r>
          </w:p>
        </w:tc>
        <w:tc>
          <w:tcPr>
            <w:tcW w:w="7071" w:type="dxa"/>
            <w:gridSpan w:val="5"/>
            <w:tcBorders>
              <w:top w:val="single" w:sz="4" w:space="0" w:color="000000"/>
              <w:left w:val="single" w:sz="4" w:space="0" w:color="000000"/>
              <w:bottom w:val="single" w:sz="4" w:space="0" w:color="000000"/>
              <w:right w:val="single" w:sz="4" w:space="0" w:color="000000"/>
            </w:tcBorders>
          </w:tcPr>
          <w:p w:rsidR="00143542" w:rsidRDefault="00AC5B6D">
            <w:pPr>
              <w:spacing w:before="134"/>
              <w:ind w:left="80"/>
              <w:rPr>
                <w:rFonts w:ascii="Times New Roman" w:eastAsia="Times New Roman" w:hAnsi="Times New Roman" w:cs="Times New Roman"/>
                <w:color w:val="000000"/>
                <w:sz w:val="20"/>
                <w:szCs w:val="20"/>
              </w:rPr>
            </w:pPr>
            <w:hyperlink r:id="rId6">
              <w:r w:rsidR="00F720DE">
                <w:rPr>
                  <w:rFonts w:ascii="Times New Roman" w:eastAsia="Times New Roman" w:hAnsi="Times New Roman" w:cs="Times New Roman"/>
                  <w:i/>
                  <w:color w:val="000000"/>
                  <w:sz w:val="20"/>
                  <w:szCs w:val="20"/>
                </w:rPr>
                <w:t>k.batycki@uthrad.pl</w:t>
              </w:r>
            </w:hyperlink>
          </w:p>
        </w:tc>
      </w:tr>
    </w:tbl>
    <w:p w:rsidR="00143542" w:rsidRDefault="00143542">
      <w:pPr>
        <w:sectPr w:rsidR="00143542">
          <w:pgSz w:w="11906" w:h="16838"/>
          <w:pgMar w:top="460" w:right="460" w:bottom="280" w:left="460" w:header="0" w:footer="0" w:gutter="0"/>
          <w:pgNumType w:start="1"/>
          <w:cols w:space="708"/>
          <w:formProt w:val="0"/>
          <w:docGrid w:linePitch="100" w:charSpace="4096"/>
        </w:sectPr>
      </w:pPr>
    </w:p>
    <w:p w:rsidR="00143542" w:rsidRDefault="00F720DE">
      <w:pPr>
        <w:spacing w:before="63"/>
        <w:ind w:left="4090" w:right="577" w:hanging="3936"/>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EFEKTY UCZENIA SIĘ, TREŚCI PROGRAMOWE, REALIZACJA ZAJĘĆ DYDAKTYCZNYCH, WERYFIKACJA EFEKTÓW UCZENIA SIĘ</w:t>
      </w:r>
    </w:p>
    <w:tbl>
      <w:tblPr>
        <w:tblW w:w="10771" w:type="dxa"/>
        <w:tblInd w:w="99" w:type="dxa"/>
        <w:tblLayout w:type="fixed"/>
        <w:tblLook w:val="0000" w:firstRow="0" w:lastRow="0" w:firstColumn="0" w:lastColumn="0" w:noHBand="0" w:noVBand="0"/>
      </w:tblPr>
      <w:tblGrid>
        <w:gridCol w:w="1981"/>
        <w:gridCol w:w="8790"/>
      </w:tblGrid>
      <w:tr w:rsidR="00143542">
        <w:trPr>
          <w:trHeight w:val="2722"/>
        </w:trPr>
        <w:tc>
          <w:tcPr>
            <w:tcW w:w="1981" w:type="dxa"/>
            <w:tcBorders>
              <w:top w:val="single" w:sz="4" w:space="0" w:color="000000"/>
              <w:left w:val="single" w:sz="4" w:space="0" w:color="000000"/>
              <w:bottom w:val="single" w:sz="4" w:space="0" w:color="000000"/>
              <w:right w:val="single" w:sz="4" w:space="0" w:color="000000"/>
            </w:tcBorders>
          </w:tcPr>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spacing w:before="7"/>
              <w:rPr>
                <w:rFonts w:ascii="Times New Roman" w:eastAsia="Times New Roman" w:hAnsi="Times New Roman" w:cs="Times New Roman"/>
                <w:b/>
                <w:color w:val="000000"/>
                <w:sz w:val="27"/>
                <w:szCs w:val="27"/>
              </w:rPr>
            </w:pPr>
          </w:p>
          <w:p w:rsidR="00143542" w:rsidRDefault="00F720DE">
            <w:pPr>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Cel kształcenia:</w:t>
            </w:r>
          </w:p>
        </w:tc>
        <w:tc>
          <w:tcPr>
            <w:tcW w:w="8789" w:type="dxa"/>
            <w:tcBorders>
              <w:top w:val="single" w:sz="4" w:space="0" w:color="000000"/>
              <w:left w:val="single" w:sz="4" w:space="0" w:color="000000"/>
              <w:bottom w:val="single" w:sz="4" w:space="0" w:color="000000"/>
              <w:right w:val="single" w:sz="4" w:space="0" w:color="000000"/>
            </w:tcBorders>
          </w:tcPr>
          <w:p w:rsidR="00143542" w:rsidRDefault="00F720DE">
            <w:pPr>
              <w:numPr>
                <w:ilvl w:val="0"/>
                <w:numId w:val="2"/>
              </w:numPr>
              <w:tabs>
                <w:tab w:val="left" w:pos="417"/>
              </w:tabs>
              <w:spacing w:before="111" w:line="235" w:lineRule="auto"/>
              <w:ind w:right="422"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Przygotowanie studenta do rozpoznawania i zrozumienia współczesnych metod obrazowania w radiologii i diagnostyki obrazowej z uwzględnieniem fizycznych i technicznych podstaw wybranych badań obrazowych.</w:t>
            </w:r>
          </w:p>
          <w:p w:rsidR="00143542" w:rsidRDefault="00F720DE">
            <w:pPr>
              <w:numPr>
                <w:ilvl w:val="0"/>
                <w:numId w:val="2"/>
              </w:numPr>
              <w:tabs>
                <w:tab w:val="left" w:pos="417"/>
              </w:tabs>
              <w:spacing w:before="63"/>
              <w:ind w:right="57"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Nabycie umiejętności oceny przydatności oraz kwalifikacji do badań radiologicznych oraz umiejętności interpretacji podstawowych wyników badań oraz ich wykorzystanie w praktyce klinicznej.</w:t>
            </w:r>
          </w:p>
          <w:p w:rsidR="00143542" w:rsidRDefault="00F720DE">
            <w:pPr>
              <w:numPr>
                <w:ilvl w:val="0"/>
                <w:numId w:val="2"/>
              </w:numPr>
              <w:tabs>
                <w:tab w:val="left" w:pos="417"/>
              </w:tabs>
              <w:spacing w:before="58"/>
              <w:ind w:right="582"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Kształcenie w zakresie analizy i interpretacji badań obrazowych USG, tomografii komputerowej, rezonansu magnetycznego.</w:t>
            </w:r>
          </w:p>
          <w:p w:rsidR="00143542" w:rsidRDefault="00F720DE">
            <w:pPr>
              <w:numPr>
                <w:ilvl w:val="0"/>
                <w:numId w:val="2"/>
              </w:numPr>
              <w:tabs>
                <w:tab w:val="left" w:pos="467"/>
              </w:tabs>
              <w:spacing w:before="58"/>
              <w:ind w:right="363"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Kształtowanie profesjonalnych postaw studenta skupiających się na potrzebach pacjenta, możliwościach współpracy w zespole interdyscyplinarnym oraz wskazanie możliwości pogłębiania i aktualizowania wiedzy z zakresu diagnostyki obrazowej.</w:t>
            </w:r>
          </w:p>
        </w:tc>
      </w:tr>
      <w:tr w:rsidR="00143542">
        <w:trPr>
          <w:trHeight w:val="11846"/>
        </w:trPr>
        <w:tc>
          <w:tcPr>
            <w:tcW w:w="1981" w:type="dxa"/>
            <w:tcBorders>
              <w:top w:val="single" w:sz="4" w:space="0" w:color="000000"/>
              <w:left w:val="single" w:sz="4" w:space="0" w:color="000000"/>
              <w:bottom w:val="single" w:sz="4" w:space="0" w:color="000000"/>
              <w:right w:val="single" w:sz="4" w:space="0" w:color="000000"/>
            </w:tcBorders>
          </w:tcPr>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143542">
            <w:pPr>
              <w:rPr>
                <w:rFonts w:ascii="Times New Roman" w:eastAsia="Times New Roman" w:hAnsi="Times New Roman" w:cs="Times New Roman"/>
                <w:b/>
                <w:color w:val="000000"/>
                <w:sz w:val="20"/>
                <w:szCs w:val="20"/>
              </w:rPr>
            </w:pPr>
          </w:p>
          <w:p w:rsidR="00143542" w:rsidRDefault="00F720DE">
            <w:pPr>
              <w:spacing w:before="163"/>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Treści programowe:</w:t>
            </w:r>
          </w:p>
          <w:p w:rsidR="00143542" w:rsidRDefault="00F720DE">
            <w:pPr>
              <w:ind w:left="8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Ćwiczenia kliniczne</w:t>
            </w:r>
          </w:p>
        </w:tc>
        <w:tc>
          <w:tcPr>
            <w:tcW w:w="8789" w:type="dxa"/>
            <w:tcBorders>
              <w:top w:val="single" w:sz="4" w:space="0" w:color="000000"/>
              <w:left w:val="single" w:sz="4" w:space="0" w:color="000000"/>
              <w:bottom w:val="single" w:sz="4" w:space="0" w:color="000000"/>
              <w:right w:val="single" w:sz="4" w:space="0" w:color="000000"/>
            </w:tcBorders>
          </w:tcPr>
          <w:p w:rsidR="00143542" w:rsidRDefault="00F720DE">
            <w:pPr>
              <w:spacing w:before="172"/>
              <w:ind w:left="75"/>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Ćwiczenia kliniczne: 45 h prowadzonych jako 11 ćwiczeń po 4 h.</w:t>
            </w:r>
          </w:p>
          <w:p w:rsidR="00143542" w:rsidRDefault="00F720DE">
            <w:pPr>
              <w:spacing w:before="120"/>
              <w:ind w:left="75" w:right="341"/>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Celem ćwiczeń jest nabycie umiejętności odczytywania i analizy wyników badań z zakresu diagnostyki obrazowej w trakcie pracy na oddziale.</w:t>
            </w:r>
          </w:p>
          <w:p w:rsidR="00143542" w:rsidRDefault="00F720DE">
            <w:pPr>
              <w:spacing w:before="120"/>
              <w:ind w:left="75"/>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Tematyka ćwiczeń</w:t>
            </w:r>
          </w:p>
          <w:p w:rsidR="00143542" w:rsidRDefault="00F720DE">
            <w:pPr>
              <w:numPr>
                <w:ilvl w:val="0"/>
                <w:numId w:val="6"/>
              </w:numPr>
              <w:tabs>
                <w:tab w:val="left" w:pos="417"/>
              </w:tabs>
              <w:spacing w:before="115"/>
              <w:ind w:right="131"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serca i dużych naczyń. Metody badania. Anatomia radiologiczna. Wady wrodzone.  Wady nabyte. Miażdżyca aorty i nadciśnienie tętnicze. Tętniak aorty piersiowej.  Choroba niedokrwienna serca i miażdżyca tętnic wieńcowych. Serce płucne. Choroby osierdzia. Nowotwory serca i osierdzia.</w:t>
            </w:r>
          </w:p>
          <w:p w:rsidR="00143542" w:rsidRDefault="00F720DE">
            <w:pPr>
              <w:numPr>
                <w:ilvl w:val="0"/>
                <w:numId w:val="6"/>
              </w:numPr>
              <w:tabs>
                <w:tab w:val="left" w:pos="417"/>
              </w:tabs>
              <w:spacing w:before="58"/>
              <w:ind w:right="31"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płuc i opłucnej. Metody badania. Anatomia radiologiczna. Podstawy patomorfologiczne objawów radiologicznych. Wady rozwojowe płuc.  Zapalenia płuc. Ropień płuca. Gruźlica płuc. Zator tętnicy płucnej. Zespół płuca wstrząsowego. Rozedma płuc. Choroby oskrzeli. Nowotwory płuc. Choroby opłucnej. Podstawy diagnostyki różnicowej w chorobach płuc i opłucnej.</w:t>
            </w:r>
          </w:p>
          <w:p w:rsidR="00143542" w:rsidRDefault="00F720DE">
            <w:pPr>
              <w:numPr>
                <w:ilvl w:val="0"/>
                <w:numId w:val="6"/>
              </w:numPr>
              <w:tabs>
                <w:tab w:val="left" w:pos="417"/>
              </w:tabs>
              <w:spacing w:before="58"/>
              <w:ind w:right="388"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śródpiersia i urazach klatki piersiowej. Metody badania. Guzy śródpiersia. Zapalenie śródpiersia. Odma śródpiersia. Choroby przełyku. Patologia przepony. Urazy klatki piersiowej.</w:t>
            </w:r>
          </w:p>
          <w:p w:rsidR="00143542" w:rsidRDefault="00F720DE">
            <w:pPr>
              <w:numPr>
                <w:ilvl w:val="0"/>
                <w:numId w:val="6"/>
              </w:numPr>
              <w:tabs>
                <w:tab w:val="left" w:pos="417"/>
              </w:tabs>
              <w:spacing w:before="58"/>
              <w:ind w:right="233"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przewodu pokarmowego (żołądka, dwunastnicy jelita grubego). Metody badania przewodu pokarmowego. Choroba wrzodowa żołądka i dwunastnicy. Nowotwory żołądka. Przepukliny przeponowe. Choroby jelita cienkiego. Choroby jelita grubego. Ostry brzuch.</w:t>
            </w:r>
          </w:p>
          <w:p w:rsidR="00143542" w:rsidRDefault="00F720DE">
            <w:pPr>
              <w:numPr>
                <w:ilvl w:val="0"/>
                <w:numId w:val="6"/>
              </w:numPr>
              <w:tabs>
                <w:tab w:val="left" w:pos="417"/>
              </w:tabs>
              <w:spacing w:before="64" w:line="235" w:lineRule="auto"/>
              <w:ind w:right="541"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trzustki, wątroby i dróg żółciowych. Metody obrazowania trzustki i wątroby i drób żółciowych. Choroby ogniskowe wątroby. Choroby pęcherzyka żółciowego i dróg żółciowych. Choroby trzustki. Urazy narządów jamy brzusznej.</w:t>
            </w:r>
          </w:p>
          <w:p w:rsidR="00143542" w:rsidRDefault="00F720DE">
            <w:pPr>
              <w:numPr>
                <w:ilvl w:val="0"/>
                <w:numId w:val="6"/>
              </w:numPr>
              <w:tabs>
                <w:tab w:val="left" w:pos="417"/>
              </w:tabs>
              <w:spacing w:before="63"/>
              <w:ind w:right="202"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układu moczowo- płciowego i nadnerczy. Metody badania. Wady rozwojowe. Choroby torbielowate nerek. Choroby zapalne nerek. Guzy nerek. Nadciśnienie naczyniowo- nerkowe. Urazy układu moczowego. Choroby pęcherza moczowego. Choroby nadnerczy. Choroby narządów układu rozrodczego. Diagnostyka obrazowa w położnictwie.</w:t>
            </w:r>
          </w:p>
          <w:p w:rsidR="00143542" w:rsidRDefault="00F720DE">
            <w:pPr>
              <w:numPr>
                <w:ilvl w:val="0"/>
                <w:numId w:val="6"/>
              </w:numPr>
              <w:tabs>
                <w:tab w:val="left" w:pos="417"/>
              </w:tabs>
              <w:spacing w:before="58"/>
              <w:ind w:right="721"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kości i stawów. Metody badania. Zaburzenia i wady rozwojowe. Nieswoiste zapalenie kości i stawów. Gruźlica kostno- stawowa. Reumatoidalne zapalenie stawów. Choroba zwyrodnieniowa kości. Guzy kości. Choroby na tle zaburzeń hormonalnych. Urazy kości i stawów. Guzy części miękkich.</w:t>
            </w:r>
          </w:p>
          <w:p w:rsidR="00143542" w:rsidRDefault="00F720DE">
            <w:pPr>
              <w:numPr>
                <w:ilvl w:val="0"/>
                <w:numId w:val="6"/>
              </w:numPr>
              <w:tabs>
                <w:tab w:val="left" w:pos="417"/>
              </w:tabs>
              <w:spacing w:before="58"/>
              <w:ind w:right="88"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ośrodkowego układu nerwowego. Metody badania. Wady rozwojowe. Urazy. Choroby naczyniowe. Guzy mózgu. Zapalenia. Choroba Alzheimera i inne przyczyny otępienia. Choroby kanału i rdzenia kręgowego.</w:t>
            </w:r>
          </w:p>
          <w:p w:rsidR="00143542" w:rsidRDefault="00F720DE">
            <w:pPr>
              <w:numPr>
                <w:ilvl w:val="0"/>
                <w:numId w:val="6"/>
              </w:numPr>
              <w:tabs>
                <w:tab w:val="left" w:pos="417"/>
              </w:tabs>
              <w:spacing w:before="58"/>
              <w:ind w:right="551"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pediatrycznych. Najczęstsze choroby ośrodkowego układu nerwowego. Najczęstsze choroby układu kostno- mięśniowego. Najczęstsze choroby układu oddechowego i śródpiersia. Najczęstsze choroby układu sercowo- naczyniowego. Najczęstsze choroby układu przewodu pokarmowego. Najczęstsze choroby układu moczowego.</w:t>
            </w:r>
          </w:p>
          <w:p w:rsidR="00143542" w:rsidRDefault="00F720DE">
            <w:pPr>
              <w:numPr>
                <w:ilvl w:val="0"/>
                <w:numId w:val="6"/>
              </w:numPr>
              <w:tabs>
                <w:tab w:val="left" w:pos="417"/>
              </w:tabs>
              <w:spacing w:before="63" w:line="237" w:lineRule="auto"/>
              <w:ind w:right="340"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Zastosowanie metod diagnostyki obrazowej w schorzeniach układu naczyniowego. Metody badania. Symptomatologia chorób układu naczyniowego. Wady rozwojowe. Miażdżyca. Tętniaki aorty. Zwężenie tętnicy nerkowej. Niedokrwienie kończyn dolnych. Malformacje naczyniowe i zmiany pourazowe. Zespoły zakrzepowe układu żylnego.</w:t>
            </w:r>
          </w:p>
          <w:p w:rsidR="00143542" w:rsidRDefault="00F720DE">
            <w:pPr>
              <w:numPr>
                <w:ilvl w:val="0"/>
                <w:numId w:val="6"/>
              </w:numPr>
              <w:tabs>
                <w:tab w:val="left" w:pos="417"/>
              </w:tabs>
              <w:spacing w:before="64" w:line="237" w:lineRule="auto"/>
              <w:ind w:right="125"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Radiologia zabiegowa. Przezskórna angioplastyka wewnątrznaczyniowa. Zabiegi embolizacji. Umieszczanie filtrów w żyle głównej. Przezskórne zabiegi na drogach żółciowych. Przezskórne zabiegi na drogach moczowych. Zastosowanie </w:t>
            </w:r>
            <w:proofErr w:type="spellStart"/>
            <w:r>
              <w:rPr>
                <w:rFonts w:ascii="Times New Roman" w:eastAsia="Times New Roman" w:hAnsi="Times New Roman" w:cs="Times New Roman"/>
                <w:i/>
                <w:color w:val="000000"/>
                <w:sz w:val="20"/>
                <w:szCs w:val="20"/>
              </w:rPr>
              <w:t>stent</w:t>
            </w:r>
            <w:proofErr w:type="spellEnd"/>
            <w:r>
              <w:rPr>
                <w:rFonts w:ascii="Times New Roman" w:eastAsia="Times New Roman" w:hAnsi="Times New Roman" w:cs="Times New Roman"/>
                <w:i/>
                <w:color w:val="000000"/>
                <w:sz w:val="20"/>
                <w:szCs w:val="20"/>
              </w:rPr>
              <w:t xml:space="preserve">- </w:t>
            </w:r>
            <w:proofErr w:type="spellStart"/>
            <w:r>
              <w:rPr>
                <w:rFonts w:ascii="Times New Roman" w:eastAsia="Times New Roman" w:hAnsi="Times New Roman" w:cs="Times New Roman"/>
                <w:i/>
                <w:color w:val="000000"/>
                <w:sz w:val="20"/>
                <w:szCs w:val="20"/>
              </w:rPr>
              <w:t>graftów</w:t>
            </w:r>
            <w:proofErr w:type="spellEnd"/>
            <w:r>
              <w:rPr>
                <w:rFonts w:ascii="Times New Roman" w:eastAsia="Times New Roman" w:hAnsi="Times New Roman" w:cs="Times New Roman"/>
                <w:i/>
                <w:color w:val="000000"/>
                <w:sz w:val="20"/>
                <w:szCs w:val="20"/>
              </w:rPr>
              <w:t xml:space="preserve"> w chorobach naczyń.  Zabiegi neuroradiologiczne.</w:t>
            </w:r>
          </w:p>
        </w:tc>
      </w:tr>
    </w:tbl>
    <w:p w:rsidR="00143542" w:rsidRDefault="00143542">
      <w:pPr>
        <w:sectPr w:rsidR="00143542">
          <w:pgSz w:w="11906" w:h="16838"/>
          <w:pgMar w:top="480" w:right="460" w:bottom="280" w:left="460" w:header="0" w:footer="0" w:gutter="0"/>
          <w:cols w:space="708"/>
          <w:formProt w:val="0"/>
          <w:docGrid w:linePitch="100" w:charSpace="4096"/>
        </w:sectPr>
      </w:pPr>
    </w:p>
    <w:p w:rsidR="00143542" w:rsidRDefault="00143542">
      <w:pPr>
        <w:spacing w:before="7"/>
        <w:rPr>
          <w:rFonts w:ascii="Times New Roman" w:eastAsia="Times New Roman" w:hAnsi="Times New Roman" w:cs="Times New Roman"/>
          <w:sz w:val="6"/>
          <w:szCs w:val="6"/>
        </w:rPr>
      </w:pPr>
    </w:p>
    <w:tbl>
      <w:tblPr>
        <w:tblW w:w="10771" w:type="dxa"/>
        <w:tblInd w:w="99" w:type="dxa"/>
        <w:tblLayout w:type="fixed"/>
        <w:tblLook w:val="0000" w:firstRow="0" w:lastRow="0" w:firstColumn="0" w:lastColumn="0" w:noHBand="0" w:noVBand="0"/>
      </w:tblPr>
      <w:tblGrid>
        <w:gridCol w:w="1981"/>
        <w:gridCol w:w="8790"/>
      </w:tblGrid>
      <w:tr w:rsidR="00143542">
        <w:trPr>
          <w:trHeight w:val="4934"/>
        </w:trPr>
        <w:tc>
          <w:tcPr>
            <w:tcW w:w="1981" w:type="dxa"/>
            <w:tcBorders>
              <w:top w:val="single" w:sz="4" w:space="0" w:color="000000"/>
              <w:left w:val="single" w:sz="4" w:space="0" w:color="000000"/>
              <w:bottom w:val="single" w:sz="4" w:space="0" w:color="000000"/>
              <w:right w:val="single" w:sz="4" w:space="0" w:color="000000"/>
            </w:tcBorders>
          </w:tcPr>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F720DE">
            <w:pPr>
              <w:spacing w:before="157"/>
              <w:ind w:left="80" w:right="15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Treści programowe: Seminarium</w:t>
            </w:r>
          </w:p>
        </w:tc>
        <w:tc>
          <w:tcPr>
            <w:tcW w:w="8789" w:type="dxa"/>
            <w:tcBorders>
              <w:top w:val="single" w:sz="4" w:space="0" w:color="000000"/>
              <w:left w:val="single" w:sz="4" w:space="0" w:color="000000"/>
              <w:bottom w:val="single" w:sz="4" w:space="0" w:color="000000"/>
              <w:right w:val="single" w:sz="4" w:space="0" w:color="000000"/>
            </w:tcBorders>
          </w:tcPr>
          <w:p w:rsidR="00143542" w:rsidRDefault="00F720DE">
            <w:pPr>
              <w:spacing w:before="172"/>
              <w:ind w:left="80"/>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Seminarium: 45 h prowadzonych jako 11 spotkań po 4 h.</w:t>
            </w:r>
          </w:p>
          <w:p w:rsidR="00143542" w:rsidRDefault="00F720DE">
            <w:pPr>
              <w:numPr>
                <w:ilvl w:val="0"/>
                <w:numId w:val="4"/>
              </w:numPr>
              <w:tabs>
                <w:tab w:val="left" w:pos="422"/>
              </w:tabs>
              <w:spacing w:before="115"/>
              <w:ind w:right="293"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Wprowadzenie do diagnostyki obrazowej, wybrane metody diagnostyki obrazowej RTG, MMG, USG oraz TK i RM.</w:t>
            </w:r>
          </w:p>
          <w:p w:rsidR="00143542" w:rsidRDefault="00F720DE">
            <w:pPr>
              <w:numPr>
                <w:ilvl w:val="0"/>
                <w:numId w:val="4"/>
              </w:numPr>
              <w:tabs>
                <w:tab w:val="left" w:pos="422"/>
              </w:tabs>
              <w:spacing w:before="58"/>
              <w:ind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Ochrona radiologiczna, przygotowanie do badania.</w:t>
            </w:r>
          </w:p>
          <w:p w:rsidR="00143542" w:rsidRDefault="00F720DE">
            <w:pPr>
              <w:numPr>
                <w:ilvl w:val="0"/>
                <w:numId w:val="4"/>
              </w:numPr>
              <w:tabs>
                <w:tab w:val="left" w:pos="422"/>
              </w:tabs>
              <w:spacing w:before="63"/>
              <w:ind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Środki kontrastowe w radiologii. Szpitalne systemy Informatyczne. </w:t>
            </w:r>
            <w:proofErr w:type="spellStart"/>
            <w:r>
              <w:rPr>
                <w:rFonts w:ascii="Times New Roman" w:eastAsia="Times New Roman" w:hAnsi="Times New Roman" w:cs="Times New Roman"/>
                <w:i/>
                <w:color w:val="000000"/>
                <w:sz w:val="20"/>
                <w:szCs w:val="20"/>
              </w:rPr>
              <w:t>Teleradiologia</w:t>
            </w:r>
            <w:proofErr w:type="spellEnd"/>
            <w:r>
              <w:rPr>
                <w:rFonts w:ascii="Times New Roman" w:eastAsia="Times New Roman" w:hAnsi="Times New Roman" w:cs="Times New Roman"/>
                <w:i/>
                <w:color w:val="000000"/>
                <w:sz w:val="20"/>
                <w:szCs w:val="20"/>
              </w:rPr>
              <w:t>.</w:t>
            </w:r>
          </w:p>
          <w:p w:rsidR="00143542" w:rsidRDefault="00F720DE">
            <w:pPr>
              <w:numPr>
                <w:ilvl w:val="0"/>
                <w:numId w:val="4"/>
              </w:numPr>
              <w:tabs>
                <w:tab w:val="left" w:pos="422"/>
              </w:tabs>
              <w:spacing w:before="58"/>
              <w:ind w:right="200"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Diagnostyka obrazowa klatki piersiowej w oparciu o wybrane choroby: radiografia oraz podstawowe objawy w diagnostyce wybranych chorób klatki piersiowej.</w:t>
            </w:r>
          </w:p>
          <w:p w:rsidR="00143542" w:rsidRDefault="00F720DE">
            <w:pPr>
              <w:numPr>
                <w:ilvl w:val="0"/>
                <w:numId w:val="4"/>
              </w:numPr>
              <w:tabs>
                <w:tab w:val="left" w:pos="422"/>
              </w:tabs>
              <w:spacing w:before="58"/>
              <w:ind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Diagnostyka obrazowa w wybranych chorobach śródpiersia.</w:t>
            </w:r>
          </w:p>
          <w:p w:rsidR="00143542" w:rsidRDefault="00F720DE">
            <w:pPr>
              <w:numPr>
                <w:ilvl w:val="0"/>
                <w:numId w:val="4"/>
              </w:numPr>
              <w:tabs>
                <w:tab w:val="left" w:pos="422"/>
              </w:tabs>
              <w:spacing w:before="63"/>
              <w:ind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Diagnostyka obrazowa w wybranych chorobach jamy brzusznej, w obrazach radiologii klasycznej.</w:t>
            </w:r>
          </w:p>
          <w:p w:rsidR="00143542" w:rsidRDefault="00F720DE">
            <w:pPr>
              <w:numPr>
                <w:ilvl w:val="0"/>
                <w:numId w:val="4"/>
              </w:numPr>
              <w:tabs>
                <w:tab w:val="left" w:pos="422"/>
              </w:tabs>
              <w:spacing w:before="58"/>
              <w:ind w:right="505"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Wskazania i przeciwwskazania do badań obrazowych TK, RM, RTG wybranych chorób w obrębie neuroradiologii.</w:t>
            </w:r>
          </w:p>
          <w:p w:rsidR="00143542" w:rsidRDefault="00F720DE">
            <w:pPr>
              <w:numPr>
                <w:ilvl w:val="0"/>
                <w:numId w:val="4"/>
              </w:numPr>
              <w:tabs>
                <w:tab w:val="left" w:pos="422"/>
              </w:tabs>
              <w:spacing w:before="68" w:line="225" w:lineRule="auto"/>
              <w:ind w:right="590"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Rozpoznawanie i różnicowanie i interpretacja obrazów radiologicznych układu kostno-stawowo- mięśniowego, głowy i szyi.</w:t>
            </w:r>
          </w:p>
          <w:p w:rsidR="00143542" w:rsidRDefault="00F720DE">
            <w:pPr>
              <w:numPr>
                <w:ilvl w:val="0"/>
                <w:numId w:val="4"/>
              </w:numPr>
              <w:tabs>
                <w:tab w:val="left" w:pos="422"/>
              </w:tabs>
              <w:spacing w:before="61"/>
              <w:ind w:right="212"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Rozpoznawanie i różnicowanie i interpretacja obrazów radiologicznych układu moczowo- płciowego, naczyniowego.</w:t>
            </w:r>
          </w:p>
          <w:p w:rsidR="00143542" w:rsidRDefault="00F720DE">
            <w:pPr>
              <w:numPr>
                <w:ilvl w:val="0"/>
                <w:numId w:val="4"/>
              </w:numPr>
              <w:tabs>
                <w:tab w:val="left" w:pos="422"/>
              </w:tabs>
              <w:spacing w:before="58"/>
              <w:ind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Radiologia interwencyjna oraz onkologia.</w:t>
            </w:r>
          </w:p>
          <w:p w:rsidR="00143542" w:rsidRDefault="00F720DE">
            <w:pPr>
              <w:numPr>
                <w:ilvl w:val="0"/>
                <w:numId w:val="4"/>
              </w:numPr>
              <w:tabs>
                <w:tab w:val="left" w:pos="422"/>
              </w:tabs>
              <w:spacing w:before="63"/>
              <w:ind w:hanging="283"/>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Podsumowanie. Zaliczenie ćwiczeń i seminariów.</w:t>
            </w:r>
          </w:p>
        </w:tc>
      </w:tr>
      <w:tr w:rsidR="00143542">
        <w:trPr>
          <w:trHeight w:val="2784"/>
        </w:trPr>
        <w:tc>
          <w:tcPr>
            <w:tcW w:w="1981" w:type="dxa"/>
            <w:tcBorders>
              <w:top w:val="single" w:sz="4" w:space="0" w:color="000000"/>
              <w:left w:val="single" w:sz="4" w:space="0" w:color="000000"/>
              <w:bottom w:val="single" w:sz="4" w:space="0" w:color="000000"/>
              <w:right w:val="single" w:sz="4" w:space="0" w:color="000000"/>
            </w:tcBorders>
          </w:tcPr>
          <w:p w:rsidR="00143542" w:rsidRDefault="00143542">
            <w:pPr>
              <w:rPr>
                <w:rFonts w:ascii="Times New Roman" w:eastAsia="Times New Roman" w:hAnsi="Times New Roman" w:cs="Times New Roman"/>
                <w:color w:val="000000"/>
              </w:rPr>
            </w:pPr>
          </w:p>
          <w:p w:rsidR="00143542" w:rsidRDefault="00143542">
            <w:pPr>
              <w:rPr>
                <w:rFonts w:ascii="Times New Roman" w:eastAsia="Times New Roman" w:hAnsi="Times New Roman" w:cs="Times New Roman"/>
                <w:color w:val="000000"/>
              </w:rPr>
            </w:pPr>
          </w:p>
          <w:p w:rsidR="00143542" w:rsidRDefault="00143542">
            <w:pPr>
              <w:rPr>
                <w:rFonts w:ascii="Times New Roman" w:eastAsia="Times New Roman" w:hAnsi="Times New Roman" w:cs="Times New Roman"/>
                <w:color w:val="000000"/>
              </w:rPr>
            </w:pPr>
          </w:p>
          <w:p w:rsidR="00143542" w:rsidRDefault="00143542">
            <w:pPr>
              <w:rPr>
                <w:rFonts w:ascii="Times New Roman" w:eastAsia="Times New Roman" w:hAnsi="Times New Roman" w:cs="Times New Roman"/>
                <w:color w:val="000000"/>
              </w:rPr>
            </w:pPr>
          </w:p>
          <w:p w:rsidR="00143542" w:rsidRDefault="00F720DE">
            <w:pPr>
              <w:spacing w:before="142" w:line="228" w:lineRule="auto"/>
              <w:ind w:left="80" w:right="676"/>
              <w:rPr>
                <w:rFonts w:ascii="Times New Roman" w:eastAsia="Times New Roman" w:hAnsi="Times New Roman" w:cs="Times New Roman"/>
                <w:color w:val="000000"/>
                <w:sz w:val="13"/>
                <w:szCs w:val="13"/>
              </w:rPr>
            </w:pPr>
            <w:r>
              <w:rPr>
                <w:rFonts w:ascii="Times New Roman" w:eastAsia="Times New Roman" w:hAnsi="Times New Roman" w:cs="Times New Roman"/>
                <w:b/>
                <w:color w:val="000000"/>
                <w:sz w:val="20"/>
                <w:szCs w:val="20"/>
              </w:rPr>
              <w:t>Metody dydaktyczne:</w:t>
            </w:r>
            <w:r>
              <w:rPr>
                <w:rFonts w:ascii="Times New Roman" w:eastAsia="Times New Roman" w:hAnsi="Times New Roman" w:cs="Times New Roman"/>
                <w:b/>
                <w:color w:val="000000"/>
                <w:sz w:val="21"/>
                <w:szCs w:val="21"/>
                <w:vertAlign w:val="superscript"/>
              </w:rPr>
              <w:t>6</w:t>
            </w:r>
          </w:p>
        </w:tc>
        <w:tc>
          <w:tcPr>
            <w:tcW w:w="8789" w:type="dxa"/>
            <w:tcBorders>
              <w:top w:val="single" w:sz="4" w:space="0" w:color="000000"/>
              <w:left w:val="single" w:sz="4" w:space="0" w:color="000000"/>
              <w:bottom w:val="single" w:sz="4" w:space="0" w:color="000000"/>
              <w:right w:val="single" w:sz="4" w:space="0" w:color="000000"/>
            </w:tcBorders>
          </w:tcPr>
          <w:p w:rsidR="00143542" w:rsidRDefault="00F720DE">
            <w:pPr>
              <w:numPr>
                <w:ilvl w:val="0"/>
                <w:numId w:val="3"/>
              </w:numPr>
              <w:tabs>
                <w:tab w:val="left" w:pos="422"/>
              </w:tabs>
              <w:spacing w:before="110"/>
              <w:ind w:hanging="283"/>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Ćwiczenia kliniczne</w:t>
            </w:r>
          </w:p>
          <w:p w:rsidR="00143542" w:rsidRDefault="00F720DE">
            <w:pPr>
              <w:numPr>
                <w:ilvl w:val="1"/>
                <w:numId w:val="3"/>
              </w:numPr>
              <w:tabs>
                <w:tab w:val="left" w:pos="763"/>
              </w:tabs>
              <w:spacing w:before="58"/>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Analiza i interpretacja wybranych badań obrazowych.</w:t>
            </w:r>
          </w:p>
          <w:p w:rsidR="00143542" w:rsidRDefault="00F720DE">
            <w:pPr>
              <w:numPr>
                <w:ilvl w:val="1"/>
                <w:numId w:val="3"/>
              </w:numPr>
              <w:tabs>
                <w:tab w:val="left" w:pos="763"/>
              </w:tabs>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Towarzyszenie lekarzowi podczas wykonywania bada ń radiologicznych.</w:t>
            </w:r>
          </w:p>
          <w:p w:rsidR="00143542" w:rsidRDefault="00F720DE">
            <w:pPr>
              <w:numPr>
                <w:ilvl w:val="0"/>
                <w:numId w:val="3"/>
              </w:numPr>
              <w:tabs>
                <w:tab w:val="left" w:pos="422"/>
              </w:tabs>
              <w:spacing w:before="63"/>
              <w:ind w:hanging="283"/>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Seminarium</w:t>
            </w:r>
          </w:p>
          <w:p w:rsidR="00143542" w:rsidRDefault="00F720DE">
            <w:pPr>
              <w:numPr>
                <w:ilvl w:val="1"/>
                <w:numId w:val="3"/>
              </w:numPr>
              <w:tabs>
                <w:tab w:val="left" w:pos="763"/>
              </w:tabs>
              <w:spacing w:before="58" w:line="228" w:lineRule="auto"/>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Dyskusja problemowa, interaktywna.</w:t>
            </w:r>
          </w:p>
          <w:p w:rsidR="00143542" w:rsidRDefault="00F720DE">
            <w:pPr>
              <w:numPr>
                <w:ilvl w:val="1"/>
                <w:numId w:val="3"/>
              </w:numPr>
              <w:tabs>
                <w:tab w:val="left" w:pos="763"/>
              </w:tabs>
              <w:spacing w:line="228" w:lineRule="auto"/>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Stoliki eksperckie.</w:t>
            </w:r>
          </w:p>
          <w:p w:rsidR="00143542" w:rsidRDefault="00F720DE">
            <w:pPr>
              <w:numPr>
                <w:ilvl w:val="1"/>
                <w:numId w:val="3"/>
              </w:numPr>
              <w:tabs>
                <w:tab w:val="left" w:pos="763"/>
              </w:tabs>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Prezentacja wybranych metod diagnostyki obrazowej.</w:t>
            </w:r>
          </w:p>
          <w:p w:rsidR="00143542" w:rsidRDefault="00F720DE">
            <w:pPr>
              <w:numPr>
                <w:ilvl w:val="0"/>
                <w:numId w:val="3"/>
              </w:numPr>
              <w:tabs>
                <w:tab w:val="left" w:pos="422"/>
              </w:tabs>
              <w:spacing w:before="63"/>
              <w:ind w:hanging="283"/>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Praca samodzielna</w:t>
            </w:r>
          </w:p>
          <w:p w:rsidR="00143542" w:rsidRDefault="00F720DE">
            <w:pPr>
              <w:numPr>
                <w:ilvl w:val="1"/>
                <w:numId w:val="3"/>
              </w:numPr>
              <w:tabs>
                <w:tab w:val="left" w:pos="763"/>
              </w:tabs>
              <w:spacing w:before="58"/>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Analiza literatury.</w:t>
            </w:r>
          </w:p>
          <w:p w:rsidR="00143542" w:rsidRDefault="00F720DE">
            <w:pPr>
              <w:numPr>
                <w:ilvl w:val="1"/>
                <w:numId w:val="3"/>
              </w:numPr>
              <w:tabs>
                <w:tab w:val="left" w:pos="763"/>
              </w:tabs>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Samodzielna próba interpretacji prostych obrazów radiologicznych.</w:t>
            </w:r>
          </w:p>
        </w:tc>
      </w:tr>
      <w:tr w:rsidR="00143542">
        <w:trPr>
          <w:trHeight w:val="6062"/>
        </w:trPr>
        <w:tc>
          <w:tcPr>
            <w:tcW w:w="1981" w:type="dxa"/>
            <w:tcBorders>
              <w:top w:val="single" w:sz="4" w:space="0" w:color="000000"/>
              <w:left w:val="single" w:sz="4" w:space="0" w:color="000000"/>
              <w:bottom w:val="single" w:sz="4" w:space="0" w:color="000000"/>
              <w:right w:val="single" w:sz="4" w:space="0" w:color="000000"/>
            </w:tcBorders>
          </w:tcPr>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143542">
            <w:pPr>
              <w:spacing w:before="11"/>
              <w:rPr>
                <w:rFonts w:ascii="Times New Roman" w:eastAsia="Times New Roman" w:hAnsi="Times New Roman" w:cs="Times New Roman"/>
                <w:color w:val="000000"/>
              </w:rPr>
            </w:pPr>
          </w:p>
          <w:p w:rsidR="00143542" w:rsidRDefault="00F720DE">
            <w:pPr>
              <w:spacing w:line="237" w:lineRule="auto"/>
              <w:ind w:left="80" w:right="114"/>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Rygor zaliczenia, kryteria oceny osiągniętych efektów uczenia się:</w:t>
            </w:r>
          </w:p>
        </w:tc>
        <w:tc>
          <w:tcPr>
            <w:tcW w:w="8789" w:type="dxa"/>
            <w:tcBorders>
              <w:top w:val="single" w:sz="4" w:space="0" w:color="000000"/>
              <w:left w:val="single" w:sz="4" w:space="0" w:color="000000"/>
              <w:bottom w:val="single" w:sz="4" w:space="0" w:color="000000"/>
              <w:right w:val="single" w:sz="4" w:space="0" w:color="000000"/>
            </w:tcBorders>
          </w:tcPr>
          <w:p w:rsidR="00143542" w:rsidRDefault="00F720DE">
            <w:pPr>
              <w:spacing w:before="111" w:line="237" w:lineRule="auto"/>
              <w:ind w:left="80" w:right="115"/>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Warunkiem zaliczenia przedmiotu jest osiągnięcie wszystkich wymaganych dla przedmiotu efektów uczenia się. Uzyskanie pozytywnych ocen ze wszystkich form zajęć wchodzących w skład przedmiotu jest równoznaczne z jego zaliczeniem i zdobyciem przez studenta przyporządkowanej przedmiotowi liczby punktów ECTS</w:t>
            </w:r>
            <w:r>
              <w:rPr>
                <w:rFonts w:ascii="Times New Roman" w:eastAsia="Times New Roman" w:hAnsi="Times New Roman" w:cs="Times New Roman"/>
                <w:i/>
                <w:color w:val="C0504D"/>
                <w:sz w:val="20"/>
                <w:szCs w:val="20"/>
              </w:rPr>
              <w:t>.</w:t>
            </w:r>
          </w:p>
          <w:p w:rsidR="00143542" w:rsidRDefault="00F720DE">
            <w:pPr>
              <w:numPr>
                <w:ilvl w:val="0"/>
                <w:numId w:val="10"/>
              </w:numPr>
              <w:tabs>
                <w:tab w:val="left" w:pos="422"/>
              </w:tabs>
              <w:spacing w:before="63"/>
              <w:ind w:hanging="283"/>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Ćwiczenia kliniczne</w:t>
            </w:r>
          </w:p>
          <w:p w:rsidR="00143542" w:rsidRDefault="00F720DE">
            <w:pPr>
              <w:spacing w:before="58"/>
              <w:ind w:left="421"/>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W celu uzyskania oceny pozytywnej z ćwiczeń należy: (przykładowe możliwości)</w:t>
            </w:r>
          </w:p>
          <w:p w:rsidR="00143542" w:rsidRDefault="00F720DE">
            <w:pPr>
              <w:numPr>
                <w:ilvl w:val="1"/>
                <w:numId w:val="10"/>
              </w:numPr>
              <w:tabs>
                <w:tab w:val="left" w:pos="763"/>
              </w:tabs>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być obecnym na wszystkich ćwiczeniach;</w:t>
            </w:r>
          </w:p>
          <w:p w:rsidR="00143542" w:rsidRDefault="00F720DE">
            <w:pPr>
              <w:numPr>
                <w:ilvl w:val="1"/>
                <w:numId w:val="10"/>
              </w:numPr>
              <w:tabs>
                <w:tab w:val="left" w:pos="763"/>
              </w:tabs>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zaliczyć poszczególne ćwiczenia;</w:t>
            </w:r>
          </w:p>
          <w:p w:rsidR="00143542" w:rsidRDefault="00F720DE">
            <w:pPr>
              <w:numPr>
                <w:ilvl w:val="1"/>
                <w:numId w:val="10"/>
              </w:numPr>
              <w:tabs>
                <w:tab w:val="left" w:pos="763"/>
              </w:tabs>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interpretować obrazy radiologiczne,</w:t>
            </w:r>
          </w:p>
          <w:p w:rsidR="00143542" w:rsidRDefault="00F720DE">
            <w:pPr>
              <w:numPr>
                <w:ilvl w:val="1"/>
                <w:numId w:val="10"/>
              </w:numPr>
              <w:tabs>
                <w:tab w:val="left" w:pos="763"/>
              </w:tabs>
              <w:spacing w:line="228" w:lineRule="auto"/>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zaliczyć czynności zlecane przez prowadzącego;</w:t>
            </w:r>
          </w:p>
          <w:p w:rsidR="00143542" w:rsidRDefault="00F720DE">
            <w:pPr>
              <w:numPr>
                <w:ilvl w:val="1"/>
                <w:numId w:val="10"/>
              </w:numPr>
              <w:tabs>
                <w:tab w:val="left" w:pos="763"/>
              </w:tabs>
              <w:spacing w:line="228" w:lineRule="auto"/>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zaliczyć test z zakresu wiedzy, umiejętności i kompetencji.</w:t>
            </w:r>
          </w:p>
          <w:p w:rsidR="00143542" w:rsidRDefault="00F720DE">
            <w:pPr>
              <w:numPr>
                <w:ilvl w:val="0"/>
                <w:numId w:val="10"/>
              </w:numPr>
              <w:tabs>
                <w:tab w:val="left" w:pos="422"/>
              </w:tabs>
              <w:spacing w:before="63"/>
              <w:ind w:hanging="283"/>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Seminarium</w:t>
            </w:r>
          </w:p>
          <w:p w:rsidR="00143542" w:rsidRDefault="00F720DE">
            <w:pPr>
              <w:spacing w:before="58"/>
              <w:ind w:left="421"/>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W celu zaliczenia seminarium należy:</w:t>
            </w:r>
          </w:p>
          <w:p w:rsidR="00143542" w:rsidRDefault="00F720DE">
            <w:pPr>
              <w:numPr>
                <w:ilvl w:val="1"/>
                <w:numId w:val="10"/>
              </w:numPr>
              <w:tabs>
                <w:tab w:val="left" w:pos="763"/>
              </w:tabs>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być obecnym na wszystkich zajęciach;</w:t>
            </w:r>
          </w:p>
          <w:p w:rsidR="00143542" w:rsidRDefault="00F720DE">
            <w:pPr>
              <w:numPr>
                <w:ilvl w:val="1"/>
                <w:numId w:val="10"/>
              </w:numPr>
              <w:tabs>
                <w:tab w:val="left" w:pos="763"/>
              </w:tabs>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aktywnie uczestniczyć w dyskusji,</w:t>
            </w:r>
          </w:p>
          <w:p w:rsidR="00143542" w:rsidRDefault="00F720DE">
            <w:pPr>
              <w:numPr>
                <w:ilvl w:val="1"/>
                <w:numId w:val="10"/>
              </w:numPr>
              <w:tabs>
                <w:tab w:val="left" w:pos="763"/>
              </w:tabs>
              <w:ind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przygotować samodzielną analizę obrazów radiologicznych w postaci prezentacji.</w:t>
            </w:r>
          </w:p>
          <w:p w:rsidR="00143542" w:rsidRDefault="00F720DE">
            <w:pPr>
              <w:numPr>
                <w:ilvl w:val="0"/>
                <w:numId w:val="10"/>
              </w:numPr>
              <w:tabs>
                <w:tab w:val="left" w:pos="422"/>
              </w:tabs>
              <w:spacing w:before="63"/>
              <w:ind w:hanging="283"/>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Egzamin</w:t>
            </w:r>
          </w:p>
          <w:p w:rsidR="00143542" w:rsidRDefault="00F720DE">
            <w:pPr>
              <w:spacing w:before="63"/>
              <w:ind w:left="421" w:right="267"/>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Przedmiot kończy się egzaminem. Uzyskanie oceny pozytywnej z ćwiczeń i seminariów w semestrze jest warunkiem koniecznym przystąpienia do egzaminu.</w:t>
            </w:r>
          </w:p>
          <w:p w:rsidR="00143542" w:rsidRDefault="00F720DE">
            <w:pPr>
              <w:spacing w:line="225" w:lineRule="auto"/>
              <w:ind w:left="421"/>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Egzamin ma formę pisemną i składa się z:</w:t>
            </w:r>
          </w:p>
          <w:p w:rsidR="00143542" w:rsidRDefault="00F720DE">
            <w:pPr>
              <w:numPr>
                <w:ilvl w:val="1"/>
                <w:numId w:val="10"/>
              </w:numPr>
              <w:tabs>
                <w:tab w:val="left" w:pos="763"/>
              </w:tabs>
              <w:ind w:right="1336" w:hanging="172"/>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testu wiedzy w postaci pytań jednokrotnego i wielokrotnego wybory, krótkich pytań strukturyzowanych;</w:t>
            </w:r>
          </w:p>
          <w:p w:rsidR="00143542" w:rsidRDefault="00F720DE">
            <w:pPr>
              <w:numPr>
                <w:ilvl w:val="1"/>
                <w:numId w:val="10"/>
              </w:numPr>
              <w:tabs>
                <w:tab w:val="left" w:pos="763"/>
              </w:tabs>
              <w:ind w:left="421" w:right="2322" w:firstLine="168"/>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części praktycznej obejmującej interpretację obrazów radiologicznych. Nie jest przewidywany termin zerowy.</w:t>
            </w:r>
          </w:p>
        </w:tc>
      </w:tr>
    </w:tbl>
    <w:p w:rsidR="00143542" w:rsidRDefault="00143542">
      <w:pPr>
        <w:sectPr w:rsidR="00143542">
          <w:pgSz w:w="11906" w:h="16838"/>
          <w:pgMar w:top="740" w:right="460" w:bottom="280" w:left="460" w:header="0" w:footer="0" w:gutter="0"/>
          <w:cols w:space="708"/>
          <w:formProt w:val="0"/>
          <w:docGrid w:linePitch="100" w:charSpace="4096"/>
        </w:sectPr>
      </w:pPr>
    </w:p>
    <w:p w:rsidR="00143542" w:rsidRDefault="00143542">
      <w:pPr>
        <w:spacing w:before="8"/>
        <w:rPr>
          <w:rFonts w:ascii="Times New Roman" w:eastAsia="Times New Roman" w:hAnsi="Times New Roman" w:cs="Times New Roman"/>
          <w:sz w:val="6"/>
          <w:szCs w:val="6"/>
        </w:rPr>
      </w:pPr>
    </w:p>
    <w:p w:rsidR="00143542" w:rsidRDefault="00F720DE">
      <w:pPr>
        <w:ind w:left="115"/>
        <w:rPr>
          <w:rFonts w:ascii="Times New Roman" w:eastAsia="Times New Roman" w:hAnsi="Times New Roman" w:cs="Times New Roman"/>
          <w:sz w:val="20"/>
          <w:szCs w:val="20"/>
        </w:rPr>
        <w:sectPr w:rsidR="00143542">
          <w:pgSz w:w="11906" w:h="16838"/>
          <w:pgMar w:top="460" w:right="440" w:bottom="280" w:left="440" w:header="0" w:footer="0" w:gutter="0"/>
          <w:cols w:space="708"/>
          <w:formProt w:val="0"/>
          <w:docGrid w:linePitch="100" w:charSpace="4096"/>
        </w:sectPr>
      </w:pPr>
      <w:r>
        <w:rPr>
          <w:noProof/>
        </w:rPr>
        <mc:AlternateContent>
          <mc:Choice Requires="wpg">
            <w:drawing>
              <wp:inline distT="0" distB="0" distL="0" distR="0" wp14:anchorId="1527F364">
                <wp:extent cx="6853555" cy="3869055"/>
                <wp:effectExtent l="0" t="0" r="24130" b="0"/>
                <wp:docPr id="1" name="Grupa 5"/>
                <wp:cNvGraphicFramePr/>
                <a:graphic xmlns:a="http://schemas.openxmlformats.org/drawingml/2006/main">
                  <a:graphicData uri="http://schemas.microsoft.com/office/word/2010/wordprocessingGroup">
                    <wpg:wgp>
                      <wpg:cNvGrpSpPr/>
                      <wpg:grpSpPr>
                        <a:xfrm>
                          <a:off x="0" y="0"/>
                          <a:ext cx="6853680" cy="3868920"/>
                          <a:chOff x="0" y="0"/>
                          <a:chExt cx="6853680" cy="3868920"/>
                        </a:xfrm>
                      </wpg:grpSpPr>
                      <wpg:grpSp>
                        <wpg:cNvPr id="2" name="Grupa 2"/>
                        <wpg:cNvGrpSpPr/>
                        <wpg:grpSpPr>
                          <a:xfrm>
                            <a:off x="0" y="0"/>
                            <a:ext cx="6853680" cy="3868920"/>
                            <a:chOff x="0" y="0"/>
                            <a:chExt cx="0" cy="0"/>
                          </a:xfrm>
                        </wpg:grpSpPr>
                        <wps:wsp>
                          <wps:cNvPr id="3" name="Prostokąt 3"/>
                          <wps:cNvSpPr/>
                          <wps:spPr>
                            <a:xfrm>
                              <a:off x="0" y="601920"/>
                              <a:ext cx="6853680" cy="2514600"/>
                            </a:xfrm>
                            <a:prstGeom prst="rect">
                              <a:avLst/>
                            </a:prstGeom>
                            <a:noFill/>
                            <a:ln w="0">
                              <a:noFill/>
                            </a:ln>
                          </wps:spPr>
                          <wps:style>
                            <a:lnRef idx="0">
                              <a:scrgbClr r="0" g="0" b="0"/>
                            </a:lnRef>
                            <a:fillRef idx="0">
                              <a:scrgbClr r="0" g="0" b="0"/>
                            </a:fillRef>
                            <a:effectRef idx="0">
                              <a:scrgbClr r="0" g="0" b="0"/>
                            </a:effectRef>
                            <a:fontRef idx="minor"/>
                          </wps:style>
                          <wps:txbx>
                            <w:txbxContent>
                              <w:p w:rsidR="00143542" w:rsidRDefault="00143542"/>
                            </w:txbxContent>
                          </wps:txbx>
                          <wps:bodyPr tIns="91440" bIns="91440" anchor="ctr">
                            <a:noAutofit/>
                          </wps:bodyPr>
                        </wps:wsp>
                        <wpg:grpSp>
                          <wpg:cNvPr id="4" name="Grupa 4"/>
                          <wpg:cNvGrpSpPr/>
                          <wpg:grpSpPr>
                            <a:xfrm>
                              <a:off x="0" y="0"/>
                              <a:ext cx="6853680" cy="3868920"/>
                              <a:chOff x="0" y="0"/>
                              <a:chExt cx="0" cy="0"/>
                            </a:xfrm>
                          </wpg:grpSpPr>
                          <wps:wsp>
                            <wps:cNvPr id="5" name="Prostokąt 5"/>
                            <wps:cNvSpPr/>
                            <wps:spPr>
                              <a:xfrm>
                                <a:off x="0" y="601920"/>
                                <a:ext cx="6853680" cy="1738800"/>
                              </a:xfrm>
                              <a:prstGeom prst="rect">
                                <a:avLst/>
                              </a:prstGeom>
                              <a:noFill/>
                              <a:ln w="0">
                                <a:noFill/>
                              </a:ln>
                            </wps:spPr>
                            <wps:style>
                              <a:lnRef idx="0">
                                <a:scrgbClr r="0" g="0" b="0"/>
                              </a:lnRef>
                              <a:fillRef idx="0">
                                <a:scrgbClr r="0" g="0" b="0"/>
                              </a:fillRef>
                              <a:effectRef idx="0">
                                <a:scrgbClr r="0" g="0" b="0"/>
                              </a:effectRef>
                              <a:fontRef idx="minor"/>
                            </wps:style>
                            <wps:txbx>
                              <w:txbxContent>
                                <w:p w:rsidR="00143542" w:rsidRDefault="00143542"/>
                              </w:txbxContent>
                            </wps:txbx>
                            <wps:bodyPr tIns="91440" bIns="91440" anchor="ctr">
                              <a:noAutofit/>
                            </wps:bodyPr>
                          </wps:wsp>
                          <wps:wsp>
                            <wps:cNvPr id="6" name="Dowolny kształt 6"/>
                            <wps:cNvSpPr/>
                            <wps:spPr>
                              <a:xfrm>
                                <a:off x="3960" y="609480"/>
                                <a:ext cx="6845760" cy="720"/>
                              </a:xfrm>
                              <a:custGeom>
                                <a:avLst/>
                                <a:gdLst>
                                  <a:gd name="textAreaLeft" fmla="*/ 0 w 3881160"/>
                                  <a:gd name="textAreaRight" fmla="*/ 3881520 w 3881160"/>
                                  <a:gd name="textAreaTop" fmla="*/ 0 h 360"/>
                                  <a:gd name="textAreaBottom" fmla="*/ 720 h 360"/>
                                </a:gdLst>
                                <a:ahLst/>
                                <a:cxnLst/>
                                <a:rect l="textAreaLeft" t="textAreaTop" r="textAreaRight" b="textAreaBottom"/>
                                <a:pathLst>
                                  <a:path w="6845935" h="1270">
                                    <a:moveTo>
                                      <a:pt x="0" y="0"/>
                                    </a:moveTo>
                                    <a:lnTo>
                                      <a:pt x="6845935" y="0"/>
                                    </a:lnTo>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7" name="Dowolny kształt 7"/>
                            <wps:cNvSpPr/>
                            <wps:spPr>
                              <a:xfrm>
                                <a:off x="6840" y="605160"/>
                                <a:ext cx="720" cy="1730880"/>
                              </a:xfrm>
                              <a:custGeom>
                                <a:avLst/>
                                <a:gdLst>
                                  <a:gd name="textAreaLeft" fmla="*/ 0 w 360"/>
                                  <a:gd name="textAreaRight" fmla="*/ 720 w 360"/>
                                  <a:gd name="textAreaTop" fmla="*/ 0 h 981360"/>
                                  <a:gd name="textAreaBottom" fmla="*/ 981720 h 981360"/>
                                </a:gdLst>
                                <a:ahLst/>
                                <a:cxnLst/>
                                <a:rect l="textAreaLeft" t="textAreaTop" r="textAreaRight" b="textAreaBottom"/>
                                <a:pathLst>
                                  <a:path w="1270" h="2246630">
                                    <a:moveTo>
                                      <a:pt x="0" y="0"/>
                                    </a:moveTo>
                                    <a:lnTo>
                                      <a:pt x="0" y="2245995"/>
                                    </a:lnTo>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8" name="Dowolny kształt 8"/>
                            <wps:cNvSpPr/>
                            <wps:spPr>
                              <a:xfrm>
                                <a:off x="3960" y="2338560"/>
                                <a:ext cx="6845760" cy="720"/>
                              </a:xfrm>
                              <a:custGeom>
                                <a:avLst/>
                                <a:gdLst>
                                  <a:gd name="textAreaLeft" fmla="*/ 0 w 3881160"/>
                                  <a:gd name="textAreaRight" fmla="*/ 3881520 w 3881160"/>
                                  <a:gd name="textAreaTop" fmla="*/ 0 h 360"/>
                                  <a:gd name="textAreaBottom" fmla="*/ 720 h 360"/>
                                </a:gdLst>
                                <a:ahLst/>
                                <a:cxnLst/>
                                <a:rect l="textAreaLeft" t="textAreaTop" r="textAreaRight" b="textAreaBottom"/>
                                <a:pathLst>
                                  <a:path w="6845935" h="1270">
                                    <a:moveTo>
                                      <a:pt x="0" y="0"/>
                                    </a:moveTo>
                                    <a:lnTo>
                                      <a:pt x="6845935" y="0"/>
                                    </a:lnTo>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9" name="Dowolny kształt 9"/>
                            <wps:cNvSpPr/>
                            <wps:spPr>
                              <a:xfrm>
                                <a:off x="1265400" y="609480"/>
                                <a:ext cx="720" cy="1725840"/>
                              </a:xfrm>
                              <a:custGeom>
                                <a:avLst/>
                                <a:gdLst>
                                  <a:gd name="textAreaLeft" fmla="*/ 0 w 360"/>
                                  <a:gd name="textAreaRight" fmla="*/ 720 w 360"/>
                                  <a:gd name="textAreaTop" fmla="*/ 0 h 978480"/>
                                  <a:gd name="textAreaBottom" fmla="*/ 978840 h 978480"/>
                                </a:gdLst>
                                <a:ahLst/>
                                <a:cxnLst/>
                                <a:rect l="textAreaLeft" t="textAreaTop" r="textAreaRight" b="textAreaBottom"/>
                                <a:pathLst>
                                  <a:path w="1270" h="2240280">
                                    <a:moveTo>
                                      <a:pt x="0" y="0"/>
                                    </a:moveTo>
                                    <a:lnTo>
                                      <a:pt x="0" y="2240280"/>
                                    </a:lnTo>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g:grpSp>
                            <wpg:cNvPr id="10" name="Grupa 10"/>
                            <wpg:cNvGrpSpPr/>
                            <wpg:grpSpPr>
                              <a:xfrm>
                                <a:off x="35640" y="0"/>
                                <a:ext cx="6812280" cy="3868920"/>
                                <a:chOff x="0" y="0"/>
                                <a:chExt cx="0" cy="0"/>
                              </a:xfrm>
                            </wpg:grpSpPr>
                            <wps:wsp>
                              <wps:cNvPr id="11" name="Dowolny kształt 11"/>
                              <wps:cNvSpPr/>
                              <wps:spPr>
                                <a:xfrm>
                                  <a:off x="6811560" y="605160"/>
                                  <a:ext cx="720" cy="1730880"/>
                                </a:xfrm>
                                <a:custGeom>
                                  <a:avLst/>
                                  <a:gdLst>
                                    <a:gd name="textAreaLeft" fmla="*/ 0 w 360"/>
                                    <a:gd name="textAreaRight" fmla="*/ 720 w 360"/>
                                    <a:gd name="textAreaTop" fmla="*/ 0 h 981360"/>
                                    <a:gd name="textAreaBottom" fmla="*/ 981720 h 981360"/>
                                  </a:gdLst>
                                  <a:ahLst/>
                                  <a:cxnLst/>
                                  <a:rect l="textAreaLeft" t="textAreaTop" r="textAreaRight" b="textAreaBottom"/>
                                  <a:pathLst>
                                    <a:path w="1270" h="2246630">
                                      <a:moveTo>
                                        <a:pt x="0" y="0"/>
                                      </a:moveTo>
                                      <a:lnTo>
                                        <a:pt x="0" y="2245995"/>
                                      </a:lnTo>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12" name="Dowolny kształt 12"/>
                              <wps:cNvSpPr/>
                              <wps:spPr>
                                <a:xfrm>
                                  <a:off x="0" y="0"/>
                                  <a:ext cx="1258560" cy="2792880"/>
                                </a:xfrm>
                                <a:custGeom>
                                  <a:avLst/>
                                  <a:gdLst>
                                    <a:gd name="textAreaLeft" fmla="*/ 0 w 713520"/>
                                    <a:gd name="textAreaRight" fmla="*/ 713880 w 713520"/>
                                    <a:gd name="textAreaTop" fmla="*/ 0 h 1583280"/>
                                    <a:gd name="textAreaBottom" fmla="*/ 1583640 h 1583280"/>
                                  </a:gdLst>
                                  <a:ahLst/>
                                  <a:cxnLst/>
                                  <a:rect l="textAreaLeft" t="textAreaTop" r="textAreaRight" b="textAreaBottom"/>
                                  <a:pathLst>
                                    <a:path w="1259205" h="2243455">
                                      <a:moveTo>
                                        <a:pt x="0" y="0"/>
                                      </a:moveTo>
                                      <a:lnTo>
                                        <a:pt x="0" y="2243455"/>
                                      </a:lnTo>
                                      <a:lnTo>
                                        <a:pt x="1259205" y="2243455"/>
                                      </a:lnTo>
                                      <a:lnTo>
                                        <a:pt x="1259205" y="0"/>
                                      </a:lnTo>
                                      <a:close/>
                                    </a:path>
                                  </a:pathLst>
                                </a:custGeom>
                                <a:noFill/>
                                <a:ln w="0">
                                  <a:noFill/>
                                </a:ln>
                              </wps:spPr>
                              <wps:style>
                                <a:lnRef idx="0">
                                  <a:scrgbClr r="0" g="0" b="0"/>
                                </a:lnRef>
                                <a:fillRef idx="0">
                                  <a:scrgbClr r="0" g="0" b="0"/>
                                </a:fillRef>
                                <a:effectRef idx="0">
                                  <a:scrgbClr r="0" g="0" b="0"/>
                                </a:effectRef>
                                <a:fontRef idx="minor"/>
                              </wps:style>
                              <wps:txbx>
                                <w:txbxContent>
                                  <w:p w:rsidR="00143542" w:rsidRDefault="00143542"/>
                                  <w:p w:rsidR="00143542" w:rsidRDefault="00143542"/>
                                  <w:p w:rsidR="00143542" w:rsidRDefault="00143542"/>
                                  <w:p w:rsidR="00143542" w:rsidRDefault="00143542"/>
                                  <w:p w:rsidR="00143542" w:rsidRDefault="00143542"/>
                                  <w:p w:rsidR="00143542" w:rsidRDefault="00143542"/>
                                  <w:p w:rsidR="00143542" w:rsidRDefault="00F720DE">
                                    <w:pPr>
                                      <w:spacing w:before="151"/>
                                      <w:ind w:left="86" w:right="364" w:firstLine="172"/>
                                    </w:pPr>
                                    <w:r>
                                      <w:rPr>
                                        <w:rFonts w:ascii="Times New Roman" w:eastAsia="Times New Roman" w:hAnsi="Times New Roman" w:cs="Times New Roman"/>
                                        <w:b/>
                                        <w:color w:val="000000"/>
                                        <w:sz w:val="20"/>
                                      </w:rPr>
                                      <w:t>Sposób obliczania oceny końcowej:</w:t>
                                    </w:r>
                                  </w:p>
                                </w:txbxContent>
                              </wps:txbx>
                              <wps:bodyPr lIns="88920" tIns="38160" rIns="88920" bIns="38160" anchor="t">
                                <a:noAutofit/>
                              </wps:bodyPr>
                            </wps:wsp>
                            <wps:wsp>
                              <wps:cNvPr id="13" name="Dowolny kształt 13"/>
                              <wps:cNvSpPr/>
                              <wps:spPr>
                                <a:xfrm>
                                  <a:off x="1229760" y="609480"/>
                                  <a:ext cx="5581080" cy="3259440"/>
                                </a:xfrm>
                                <a:custGeom>
                                  <a:avLst/>
                                  <a:gdLst>
                                    <a:gd name="textAreaLeft" fmla="*/ 0 w 3164040"/>
                                    <a:gd name="textAreaRight" fmla="*/ 3164400 w 3164040"/>
                                    <a:gd name="textAreaTop" fmla="*/ 0 h 1847880"/>
                                    <a:gd name="textAreaBottom" fmla="*/ 1848240 h 1847880"/>
                                  </a:gdLst>
                                  <a:ahLst/>
                                  <a:cxnLst/>
                                  <a:rect l="textAreaLeft" t="textAreaTop" r="textAreaRight" b="textAreaBottom"/>
                                  <a:pathLst>
                                    <a:path w="5581015" h="2243455">
                                      <a:moveTo>
                                        <a:pt x="0" y="0"/>
                                      </a:moveTo>
                                      <a:lnTo>
                                        <a:pt x="0" y="2243455"/>
                                      </a:lnTo>
                                      <a:lnTo>
                                        <a:pt x="5581015" y="2243455"/>
                                      </a:lnTo>
                                      <a:lnTo>
                                        <a:pt x="5581015" y="0"/>
                                      </a:lnTo>
                                      <a:close/>
                                    </a:path>
                                  </a:pathLst>
                                </a:custGeom>
                                <a:noFill/>
                                <a:ln w="0">
                                  <a:noFill/>
                                </a:ln>
                              </wps:spPr>
                              <wps:style>
                                <a:lnRef idx="0">
                                  <a:scrgbClr r="0" g="0" b="0"/>
                                </a:lnRef>
                                <a:fillRef idx="0">
                                  <a:scrgbClr r="0" g="0" b="0"/>
                                </a:fillRef>
                                <a:effectRef idx="0">
                                  <a:scrgbClr r="0" g="0" b="0"/>
                                </a:effectRef>
                                <a:fontRef idx="minor"/>
                              </wps:style>
                              <wps:txbx>
                                <w:txbxContent>
                                  <w:p w:rsidR="00143542" w:rsidRDefault="00F720DE">
                                    <w:pPr>
                                      <w:spacing w:before="116" w:line="235" w:lineRule="auto"/>
                                      <w:ind w:left="86" w:right="46" w:firstLine="172"/>
                                      <w:rPr>
                                        <w:sz w:val="18"/>
                                        <w:szCs w:val="18"/>
                                      </w:rPr>
                                    </w:pPr>
                                    <w:r>
                                      <w:rPr>
                                        <w:rFonts w:ascii="Times New Roman" w:eastAsia="Times New Roman" w:hAnsi="Times New Roman" w:cs="Times New Roman"/>
                                        <w:i/>
                                        <w:color w:val="000000"/>
                                        <w:sz w:val="16"/>
                                        <w:szCs w:val="18"/>
                                      </w:rPr>
                                      <w:t>Sposób obliczenia oceny końcowej (dokładnej) z przedmiotu uwzględniający wszystkie jego formy określony został w Regulaminie studiów (§37-40). Ocena dokładna obliczana jest w systemie Wirtualnej Uczelni na podstawie ocen uzyskanych z poszczególnych form przedmiotu.</w:t>
                                    </w:r>
                                  </w:p>
                                  <w:p w:rsidR="00143542" w:rsidRDefault="00143542">
                                    <w:pPr>
                                      <w:rPr>
                                        <w:sz w:val="18"/>
                                        <w:szCs w:val="18"/>
                                      </w:rPr>
                                    </w:pPr>
                                  </w:p>
                                  <w:p w:rsidR="00143542" w:rsidRDefault="00F720DE">
                                    <w:pPr>
                                      <w:spacing w:before="126"/>
                                      <w:ind w:left="86" w:firstLine="172"/>
                                      <w:rPr>
                                        <w:sz w:val="18"/>
                                        <w:szCs w:val="18"/>
                                      </w:rPr>
                                    </w:pPr>
                                    <w:r>
                                      <w:rPr>
                                        <w:rFonts w:ascii="Times New Roman" w:eastAsia="Times New Roman" w:hAnsi="Times New Roman" w:cs="Times New Roman"/>
                                        <w:i/>
                                        <w:color w:val="000000"/>
                                        <w:sz w:val="16"/>
                                        <w:szCs w:val="18"/>
                                      </w:rPr>
                                      <w:t>Skala ocen dla poszczególnych form zajęć uwzględnianych w obliczeniu oceny dokładnej.</w:t>
                                    </w:r>
                                  </w:p>
                                  <w:p w:rsidR="00143542" w:rsidRDefault="00F720DE">
                                    <w:pPr>
                                      <w:spacing w:before="58"/>
                                      <w:ind w:left="344" w:firstLine="488"/>
                                      <w:rPr>
                                        <w:sz w:val="18"/>
                                        <w:szCs w:val="18"/>
                                      </w:rPr>
                                    </w:pPr>
                                    <w:r>
                                      <w:rPr>
                                        <w:rFonts w:ascii="Times New Roman" w:eastAsia="Times New Roman" w:hAnsi="Times New Roman" w:cs="Times New Roman"/>
                                        <w:i/>
                                        <w:color w:val="000000"/>
                                        <w:sz w:val="16"/>
                                        <w:szCs w:val="18"/>
                                      </w:rPr>
                                      <w:t>Ćwiczenia kliniczne i seminarium</w:t>
                                    </w:r>
                                  </w:p>
                                  <w:p w:rsidR="00143542" w:rsidRDefault="00F720DE">
                                    <w:pPr>
                                      <w:spacing w:before="58"/>
                                      <w:ind w:left="595" w:firstLine="1190"/>
                                      <w:rPr>
                                        <w:sz w:val="18"/>
                                        <w:szCs w:val="18"/>
                                      </w:rPr>
                                    </w:pPr>
                                    <w:r>
                                      <w:rPr>
                                        <w:rFonts w:ascii="Times New Roman" w:eastAsia="Times New Roman" w:hAnsi="Times New Roman" w:cs="Times New Roman"/>
                                        <w:color w:val="000000"/>
                                        <w:sz w:val="16"/>
                                        <w:szCs w:val="18"/>
                                      </w:rPr>
                                      <w:t xml:space="preserve">•  </w:t>
                                    </w:r>
                                    <w:r>
                                      <w:rPr>
                                        <w:rFonts w:ascii="Times New Roman" w:eastAsia="Times New Roman" w:hAnsi="Times New Roman" w:cs="Times New Roman"/>
                                        <w:i/>
                                        <w:color w:val="000000"/>
                                        <w:sz w:val="16"/>
                                        <w:szCs w:val="18"/>
                                      </w:rPr>
                                      <w:t>3,0 (dostateczny) – 60-70%.</w:t>
                                    </w:r>
                                  </w:p>
                                  <w:p w:rsidR="00143542" w:rsidRDefault="00F720DE">
                                    <w:pPr>
                                      <w:ind w:left="768" w:firstLine="1363"/>
                                      <w:rPr>
                                        <w:sz w:val="18"/>
                                        <w:szCs w:val="18"/>
                                      </w:rPr>
                                    </w:pPr>
                                    <w:r>
                                      <w:rPr>
                                        <w:rFonts w:ascii="Times New Roman" w:eastAsia="Times New Roman" w:hAnsi="Times New Roman" w:cs="Times New Roman"/>
                                        <w:i/>
                                        <w:color w:val="000000"/>
                                        <w:sz w:val="16"/>
                                        <w:szCs w:val="18"/>
                                      </w:rPr>
                                      <w:t>3,5 (dostateczny plus) – 71-80%</w:t>
                                    </w:r>
                                  </w:p>
                                  <w:p w:rsidR="00143542" w:rsidRDefault="00F720DE">
                                    <w:pPr>
                                      <w:ind w:left="595" w:firstLine="1190"/>
                                      <w:rPr>
                                        <w:sz w:val="18"/>
                                        <w:szCs w:val="18"/>
                                      </w:rPr>
                                    </w:pPr>
                                    <w:r>
                                      <w:rPr>
                                        <w:rFonts w:ascii="Times New Roman" w:eastAsia="Times New Roman" w:hAnsi="Times New Roman" w:cs="Times New Roman"/>
                                        <w:color w:val="000000"/>
                                        <w:sz w:val="16"/>
                                        <w:szCs w:val="18"/>
                                      </w:rPr>
                                      <w:t xml:space="preserve">•  </w:t>
                                    </w:r>
                                    <w:r>
                                      <w:rPr>
                                        <w:rFonts w:ascii="Times New Roman" w:eastAsia="Times New Roman" w:hAnsi="Times New Roman" w:cs="Times New Roman"/>
                                        <w:i/>
                                        <w:color w:val="000000"/>
                                        <w:sz w:val="16"/>
                                        <w:szCs w:val="18"/>
                                      </w:rPr>
                                      <w:t>4,0 (dobry) – 81-90%</w:t>
                                    </w:r>
                                  </w:p>
                                  <w:p w:rsidR="00143542" w:rsidRDefault="00F720DE">
                                    <w:pPr>
                                      <w:ind w:left="595" w:firstLine="1190"/>
                                      <w:rPr>
                                        <w:sz w:val="18"/>
                                        <w:szCs w:val="18"/>
                                      </w:rPr>
                                    </w:pPr>
                                    <w:r>
                                      <w:rPr>
                                        <w:rFonts w:ascii="Times New Roman" w:eastAsia="Times New Roman" w:hAnsi="Times New Roman" w:cs="Times New Roman"/>
                                        <w:color w:val="000000"/>
                                        <w:sz w:val="16"/>
                                        <w:szCs w:val="18"/>
                                      </w:rPr>
                                      <w:t xml:space="preserve">•  </w:t>
                                    </w:r>
                                    <w:r>
                                      <w:rPr>
                                        <w:rFonts w:ascii="Times New Roman" w:eastAsia="Times New Roman" w:hAnsi="Times New Roman" w:cs="Times New Roman"/>
                                        <w:i/>
                                        <w:color w:val="000000"/>
                                        <w:sz w:val="16"/>
                                        <w:szCs w:val="18"/>
                                      </w:rPr>
                                      <w:t>4,5 (dobry plus) – 91-95%</w:t>
                                    </w:r>
                                  </w:p>
                                  <w:p w:rsidR="00143542" w:rsidRDefault="00F720DE">
                                    <w:pPr>
                                      <w:ind w:left="595" w:firstLine="1190"/>
                                      <w:rPr>
                                        <w:sz w:val="18"/>
                                        <w:szCs w:val="18"/>
                                      </w:rPr>
                                    </w:pPr>
                                    <w:r>
                                      <w:rPr>
                                        <w:rFonts w:ascii="Times New Roman" w:eastAsia="Times New Roman" w:hAnsi="Times New Roman" w:cs="Times New Roman"/>
                                        <w:color w:val="000000"/>
                                        <w:sz w:val="16"/>
                                        <w:szCs w:val="18"/>
                                      </w:rPr>
                                      <w:t xml:space="preserve">•  </w:t>
                                    </w:r>
                                    <w:r>
                                      <w:rPr>
                                        <w:rFonts w:ascii="Times New Roman" w:eastAsia="Times New Roman" w:hAnsi="Times New Roman" w:cs="Times New Roman"/>
                                        <w:i/>
                                        <w:color w:val="000000"/>
                                        <w:sz w:val="16"/>
                                        <w:szCs w:val="18"/>
                                      </w:rPr>
                                      <w:t>5,0 (bardzo dobry) – 96-100%</w:t>
                                    </w:r>
                                  </w:p>
                                  <w:p w:rsidR="00143542" w:rsidRDefault="00F720DE">
                                    <w:pPr>
                                      <w:spacing w:before="63"/>
                                      <w:ind w:left="344" w:firstLine="488"/>
                                      <w:rPr>
                                        <w:sz w:val="18"/>
                                        <w:szCs w:val="18"/>
                                      </w:rPr>
                                    </w:pPr>
                                    <w:r>
                                      <w:rPr>
                                        <w:rFonts w:ascii="Times New Roman" w:eastAsia="Times New Roman" w:hAnsi="Times New Roman" w:cs="Times New Roman"/>
                                        <w:i/>
                                        <w:color w:val="000000"/>
                                        <w:sz w:val="16"/>
                                        <w:szCs w:val="18"/>
                                      </w:rPr>
                                      <w:t>Egzamin</w:t>
                                    </w:r>
                                    <w:r>
                                      <w:rPr>
                                        <w:sz w:val="18"/>
                                        <w:szCs w:val="18"/>
                                      </w:rPr>
                                      <w:t xml:space="preserve">  - </w:t>
                                    </w:r>
                                    <w:r>
                                      <w:rPr>
                                        <w:rFonts w:ascii="Times New Roman" w:eastAsia="Times New Roman" w:hAnsi="Times New Roman" w:cs="Times New Roman"/>
                                        <w:i/>
                                        <w:color w:val="000000"/>
                                        <w:sz w:val="16"/>
                                        <w:szCs w:val="18"/>
                                      </w:rPr>
                                      <w:t>Zaliczenie części praktycznej jest warunkiem niezbędnym otrzymania oceny pozytywnej z egzaminu.</w:t>
                                    </w:r>
                                  </w:p>
                                </w:txbxContent>
                              </wps:txbx>
                              <wps:bodyPr lIns="88920" tIns="38160" rIns="88920" bIns="38160" anchor="t">
                                <a:noAutofit/>
                              </wps:bodyPr>
                            </wps:wsp>
                          </wpg:grpSp>
                        </wpg:grpSp>
                      </wpg:grp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id="shape_0" alt="Grupa 5" style="position:absolute;margin-left:0pt;margin-top:-304.7pt;width:539.65pt;height:304.65pt" coordorigin="0,-6094" coordsize="10793,6093">
                <v:group id="shape_0" style="position:absolute;left:0;top:-6094;width:10793;height:6093">
                  <v:rect id="shape_0" ID="Prostokąt 2" path="m0,0l-2147483645,0l-2147483645,-2147483646l0,-2147483646xe" stroked="f" o:allowincell="f" style="position:absolute;left:0;top:-5146;width:10792;height:3959;mso-wrap-style:none;v-text-anchor:middle;mso-position-vertical:top">
                    <v:fill o:detectmouseclick="t" on="false"/>
                    <v:stroke color="#3465a4" joinstyle="round" endcap="flat"/>
                    <v:textbox>
                      <w:txbxContent>
                        <w:p>
                          <w:pPr>
                            <w:pStyle w:val="Normal"/>
                            <w:rPr/>
                          </w:pPr>
                          <w:r>
                            <w:rPr/>
                          </w:r>
                        </w:p>
                      </w:txbxContent>
                    </v:textbox>
                    <w10:wrap type="square"/>
                  </v:rect>
                  <v:group id="shape_0" style="position:absolute;left:0;top:-6094;width:10793;height:6093">
                    <v:rect id="shape_0" ID="Prostokąt 4" path="m0,0l-2147483645,0l-2147483645,-2147483646l0,-2147483646xe" stroked="f" o:allowincell="f" style="position:absolute;left:0;top:-5146;width:10792;height:2737;mso-wrap-style:none;v-text-anchor:middle;mso-position-vertical:top">
                      <v:fill o:detectmouseclick="t" on="false"/>
                      <v:stroke color="#3465a4" joinstyle="round" endcap="flat"/>
                      <v:textbox>
                        <w:txbxContent>
                          <w:p>
                            <w:pPr>
                              <w:pStyle w:val="Normal"/>
                              <w:rPr/>
                            </w:pPr>
                            <w:r>
                              <w:rPr/>
                            </w:r>
                          </w:p>
                        </w:txbxContent>
                      </v:textbox>
                      <w10:wrap type="square"/>
                    </v:rect>
                    <v:group id="shape_0" style="position:absolute;left:56;top:-6094;width:10728;height:6093"/>
                  </v:group>
                </v:group>
              </v:group>
            </w:pict>
          </mc:Fallback>
        </mc:AlternateContent>
      </w:r>
    </w:p>
    <w:p w:rsidR="00143542" w:rsidRDefault="00143542">
      <w:pPr>
        <w:spacing w:before="10"/>
        <w:rPr>
          <w:rFonts w:ascii="Times New Roman" w:eastAsia="Times New Roman" w:hAnsi="Times New Roman" w:cs="Times New Roman"/>
          <w:sz w:val="5"/>
          <w:szCs w:val="5"/>
        </w:rPr>
      </w:pPr>
    </w:p>
    <w:tbl>
      <w:tblPr>
        <w:tblW w:w="10774" w:type="dxa"/>
        <w:tblInd w:w="95" w:type="dxa"/>
        <w:tblLayout w:type="fixed"/>
        <w:tblLook w:val="0000" w:firstRow="0" w:lastRow="0" w:firstColumn="0" w:lastColumn="0" w:noHBand="0" w:noVBand="0"/>
      </w:tblPr>
      <w:tblGrid>
        <w:gridCol w:w="1033"/>
        <w:gridCol w:w="3787"/>
        <w:gridCol w:w="1276"/>
        <w:gridCol w:w="1418"/>
        <w:gridCol w:w="1558"/>
        <w:gridCol w:w="1702"/>
      </w:tblGrid>
      <w:tr w:rsidR="00143542">
        <w:trPr>
          <w:trHeight w:val="634"/>
        </w:trPr>
        <w:tc>
          <w:tcPr>
            <w:tcW w:w="7513" w:type="dxa"/>
            <w:gridSpan w:val="4"/>
            <w:tcBorders>
              <w:top w:val="single" w:sz="8" w:space="0" w:color="000000"/>
              <w:left w:val="single" w:sz="8" w:space="0" w:color="000000"/>
              <w:bottom w:val="single" w:sz="8" w:space="0" w:color="000000"/>
              <w:right w:val="single" w:sz="6" w:space="0" w:color="000000"/>
            </w:tcBorders>
          </w:tcPr>
          <w:p w:rsidR="00143542" w:rsidRDefault="00F720DE">
            <w:pPr>
              <w:spacing w:before="55" w:line="252" w:lineRule="auto"/>
              <w:ind w:left="3162" w:right="197" w:hanging="2957"/>
              <w:rPr>
                <w:rFonts w:ascii="Times New Roman" w:eastAsia="Times New Roman" w:hAnsi="Times New Roman" w:cs="Times New Roman"/>
                <w:color w:val="000000"/>
                <w:sz w:val="14"/>
                <w:szCs w:val="14"/>
              </w:rPr>
            </w:pPr>
            <w:r>
              <w:rPr>
                <w:rFonts w:ascii="Times New Roman" w:eastAsia="Times New Roman" w:hAnsi="Times New Roman" w:cs="Times New Roman"/>
                <w:b/>
                <w:color w:val="000000"/>
              </w:rPr>
              <w:t>Efekty uczenia się dla przedmiotu w odniesieniu do efektów kierunkowych i formy zajęć</w:t>
            </w:r>
            <w:r>
              <w:rPr>
                <w:rFonts w:ascii="Times New Roman" w:eastAsia="Times New Roman" w:hAnsi="Times New Roman" w:cs="Times New Roman"/>
                <w:b/>
                <w:color w:val="000000"/>
                <w:sz w:val="23"/>
                <w:szCs w:val="23"/>
                <w:vertAlign w:val="superscript"/>
              </w:rPr>
              <w:t>7</w:t>
            </w:r>
          </w:p>
        </w:tc>
        <w:tc>
          <w:tcPr>
            <w:tcW w:w="3260" w:type="dxa"/>
            <w:gridSpan w:val="2"/>
            <w:tcBorders>
              <w:top w:val="single" w:sz="8" w:space="0" w:color="000000"/>
              <w:left w:val="single" w:sz="6" w:space="0" w:color="000000"/>
              <w:bottom w:val="single" w:sz="8" w:space="0" w:color="000000"/>
              <w:right w:val="single" w:sz="6" w:space="0" w:color="000000"/>
            </w:tcBorders>
          </w:tcPr>
          <w:p w:rsidR="00143542" w:rsidRDefault="00F720DE">
            <w:pPr>
              <w:spacing w:before="52"/>
              <w:ind w:left="1122" w:right="306" w:hanging="807"/>
              <w:rPr>
                <w:rFonts w:ascii="Times New Roman" w:eastAsia="Times New Roman" w:hAnsi="Times New Roman" w:cs="Times New Roman"/>
                <w:color w:val="000000"/>
              </w:rPr>
            </w:pPr>
            <w:r>
              <w:rPr>
                <w:rFonts w:ascii="Times New Roman" w:eastAsia="Times New Roman" w:hAnsi="Times New Roman" w:cs="Times New Roman"/>
                <w:b/>
                <w:color w:val="000000"/>
              </w:rPr>
              <w:t>Metody weryfikacji efektów uczenia się</w:t>
            </w:r>
          </w:p>
        </w:tc>
      </w:tr>
      <w:tr w:rsidR="00143542">
        <w:trPr>
          <w:trHeight w:val="1426"/>
        </w:trPr>
        <w:tc>
          <w:tcPr>
            <w:tcW w:w="1032" w:type="dxa"/>
            <w:tcBorders>
              <w:top w:val="single" w:sz="8" w:space="0" w:color="000000"/>
              <w:left w:val="single" w:sz="8" w:space="0" w:color="000000"/>
              <w:bottom w:val="single" w:sz="8" w:space="0" w:color="000000"/>
              <w:right w:val="single" w:sz="8" w:space="0" w:color="000000"/>
            </w:tcBorders>
          </w:tcPr>
          <w:p w:rsidR="00143542" w:rsidRDefault="00143542">
            <w:pPr>
              <w:rPr>
                <w:rFonts w:ascii="Times New Roman" w:eastAsia="Times New Roman" w:hAnsi="Times New Roman" w:cs="Times New Roman"/>
                <w:color w:val="000000"/>
                <w:sz w:val="20"/>
                <w:szCs w:val="20"/>
              </w:rPr>
            </w:pPr>
          </w:p>
          <w:p w:rsidR="00143542" w:rsidRDefault="00F720DE">
            <w:pPr>
              <w:spacing w:before="120"/>
              <w:ind w:left="23" w:right="104" w:hanging="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Numer efektu uczenia się</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before="119"/>
              <w:ind w:left="258" w:right="24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Opis efektów uczenia się dla przedmiotu (PEU)</w:t>
            </w:r>
          </w:p>
          <w:p w:rsidR="00143542" w:rsidRDefault="00F720DE">
            <w:pPr>
              <w:ind w:left="7"/>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który zaliczył przedmiot</w:t>
            </w:r>
          </w:p>
          <w:p w:rsidR="00143542" w:rsidRDefault="00F720DE">
            <w:pPr>
              <w:ind w:left="1487" w:right="308" w:hanging="11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 zna i rozumie/ (U) potrafi:</w:t>
            </w:r>
          </w:p>
        </w:tc>
        <w:tc>
          <w:tcPr>
            <w:tcW w:w="1276" w:type="dxa"/>
            <w:tcBorders>
              <w:top w:val="single" w:sz="8" w:space="0" w:color="000000"/>
              <w:left w:val="single" w:sz="8" w:space="0" w:color="000000"/>
              <w:bottom w:val="single" w:sz="8" w:space="0" w:color="000000"/>
              <w:right w:val="single" w:sz="8" w:space="0" w:color="000000"/>
            </w:tcBorders>
          </w:tcPr>
          <w:p w:rsidR="00143542" w:rsidRDefault="00F720DE">
            <w:pPr>
              <w:spacing w:before="119"/>
              <w:ind w:left="99" w:right="94" w:firstLine="5"/>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Kierunkowy efekt uczenia się (KEU) i stopień osiągnięcia</w:t>
            </w:r>
          </w:p>
        </w:tc>
        <w:tc>
          <w:tcPr>
            <w:tcW w:w="1418" w:type="dxa"/>
            <w:tcBorders>
              <w:top w:val="single" w:sz="8" w:space="0" w:color="000000"/>
              <w:left w:val="single" w:sz="8" w:space="0" w:color="000000"/>
              <w:bottom w:val="single" w:sz="8" w:space="0" w:color="000000"/>
              <w:right w:val="single" w:sz="6" w:space="0" w:color="000000"/>
            </w:tcBorders>
          </w:tcPr>
          <w:p w:rsidR="00143542" w:rsidRDefault="00143542">
            <w:pPr>
              <w:rPr>
                <w:rFonts w:ascii="Times New Roman" w:eastAsia="Times New Roman" w:hAnsi="Times New Roman" w:cs="Times New Roman"/>
                <w:color w:val="000000"/>
                <w:sz w:val="20"/>
                <w:szCs w:val="20"/>
              </w:rPr>
            </w:pPr>
          </w:p>
          <w:p w:rsidR="00143542" w:rsidRDefault="00143542">
            <w:pPr>
              <w:rPr>
                <w:rFonts w:ascii="Times New Roman" w:eastAsia="Times New Roman" w:hAnsi="Times New Roman" w:cs="Times New Roman"/>
                <w:color w:val="000000"/>
                <w:sz w:val="20"/>
                <w:szCs w:val="20"/>
              </w:rPr>
            </w:pPr>
          </w:p>
          <w:p w:rsidR="00143542" w:rsidRDefault="00F720DE">
            <w:pPr>
              <w:spacing w:before="120"/>
              <w:ind w:left="21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Forma zajęć</w:t>
            </w:r>
          </w:p>
        </w:tc>
        <w:tc>
          <w:tcPr>
            <w:tcW w:w="1558" w:type="dxa"/>
            <w:tcBorders>
              <w:top w:val="single" w:sz="8" w:space="0" w:color="000000"/>
              <w:left w:val="single" w:sz="6" w:space="0" w:color="000000"/>
              <w:bottom w:val="single" w:sz="8" w:space="0" w:color="000000"/>
              <w:right w:val="single" w:sz="8" w:space="0" w:color="000000"/>
            </w:tcBorders>
          </w:tcPr>
          <w:p w:rsidR="00143542" w:rsidRDefault="00143542">
            <w:pPr>
              <w:rPr>
                <w:rFonts w:ascii="Times New Roman" w:eastAsia="Times New Roman" w:hAnsi="Times New Roman" w:cs="Times New Roman"/>
                <w:color w:val="000000"/>
                <w:sz w:val="20"/>
                <w:szCs w:val="20"/>
              </w:rPr>
            </w:pPr>
          </w:p>
          <w:p w:rsidR="00143542" w:rsidRDefault="00F720DE">
            <w:pPr>
              <w:spacing w:before="120"/>
              <w:ind w:left="315" w:right="323" w:firstLine="15"/>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Forma weryfikacji (zaliczeń)</w:t>
            </w:r>
          </w:p>
        </w:tc>
        <w:tc>
          <w:tcPr>
            <w:tcW w:w="1702" w:type="dxa"/>
            <w:tcBorders>
              <w:top w:val="single" w:sz="8" w:space="0" w:color="000000"/>
              <w:left w:val="single" w:sz="8" w:space="0" w:color="000000"/>
              <w:bottom w:val="single" w:sz="8" w:space="0" w:color="000000"/>
              <w:right w:val="single" w:sz="6" w:space="0" w:color="000000"/>
            </w:tcBorders>
          </w:tcPr>
          <w:p w:rsidR="00143542" w:rsidRDefault="00143542">
            <w:pPr>
              <w:rPr>
                <w:rFonts w:ascii="Times New Roman" w:eastAsia="Times New Roman" w:hAnsi="Times New Roman" w:cs="Times New Roman"/>
                <w:color w:val="000000"/>
                <w:sz w:val="20"/>
                <w:szCs w:val="20"/>
              </w:rPr>
            </w:pPr>
          </w:p>
          <w:p w:rsidR="00143542" w:rsidRDefault="00F720DE">
            <w:pPr>
              <w:spacing w:before="120"/>
              <w:ind w:left="344" w:right="339" w:firstLine="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Metody sprawdzania i oceny</w:t>
            </w:r>
          </w:p>
        </w:tc>
      </w:tr>
      <w:tr w:rsidR="00143542">
        <w:trPr>
          <w:trHeight w:val="1046"/>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W1</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 xml:space="preserve">zasady profilaktyki chorób występujących u dzieci, w tym badania przesiewowe, badania bilansowe i szczepienia ochronne; </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jc w:val="center"/>
              <w:rPr>
                <w:rFonts w:ascii="Georgia" w:eastAsia="Georgia" w:hAnsi="Georgia" w:cs="Georgia"/>
              </w:rPr>
            </w:pPr>
            <w:r>
              <w:rPr>
                <w:rFonts w:ascii="Georgia" w:eastAsia="Georgia" w:hAnsi="Georgia" w:cs="Georgia"/>
              </w:rPr>
              <w:t>E.W2</w:t>
            </w:r>
          </w:p>
          <w:p w:rsidR="00143542" w:rsidRDefault="00F720DE">
            <w:pPr>
              <w:spacing w:line="276" w:lineRule="auto"/>
              <w:jc w:val="center"/>
              <w:rPr>
                <w:rFonts w:ascii="Georgia" w:eastAsia="Georgia" w:hAnsi="Georgia" w:cs="Georgia"/>
              </w:rPr>
            </w:pPr>
            <w:r>
              <w:rPr>
                <w:rFonts w:ascii="Georgia" w:eastAsia="Georgia" w:hAnsi="Georgia" w:cs="Georgia"/>
              </w:rPr>
              <w:t>+++</w:t>
            </w: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234"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27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27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23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23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23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23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230"/>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W2</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uwarunkowania środowiskowe i epidemiologiczne, przyczyny, objawy, zasady  diagnozowania i postępowania terapeutycznego w przypadku najczęstszych chorób występujących u dzieci oraz ich powikłań:</w:t>
            </w:r>
          </w:p>
          <w:p w:rsidR="00143542" w:rsidRDefault="00F720DE">
            <w:pPr>
              <w:numPr>
                <w:ilvl w:val="1"/>
                <w:numId w:val="5"/>
              </w:numPr>
              <w:spacing w:line="276" w:lineRule="auto"/>
              <w:rPr>
                <w:rFonts w:ascii="Georgia" w:eastAsia="Georgia" w:hAnsi="Georgia" w:cs="Georgia"/>
              </w:rPr>
            </w:pPr>
            <w:r>
              <w:rPr>
                <w:rFonts w:ascii="Georgia" w:eastAsia="Georgia" w:hAnsi="Georgia" w:cs="Georgia"/>
              </w:rPr>
              <w:t>krzywicy, tężyczki, zaburzeń gospodarki wodno-elektrolitowej i kwasowo- zasadowej;</w:t>
            </w:r>
          </w:p>
          <w:p w:rsidR="00143542" w:rsidRDefault="00F720DE">
            <w:pPr>
              <w:numPr>
                <w:ilvl w:val="1"/>
                <w:numId w:val="5"/>
              </w:numPr>
              <w:spacing w:line="276" w:lineRule="auto"/>
              <w:rPr>
                <w:rFonts w:ascii="Georgia" w:eastAsia="Georgia" w:hAnsi="Georgia" w:cs="Georgia"/>
              </w:rPr>
            </w:pPr>
            <w:r>
              <w:rPr>
                <w:rFonts w:ascii="Georgia" w:eastAsia="Georgia" w:hAnsi="Georgia" w:cs="Georgia"/>
              </w:rPr>
              <w:t xml:space="preserve">wad serca, zapalenia mięśnia sercowego, wsierdzia i osierdzia, </w:t>
            </w:r>
            <w:proofErr w:type="spellStart"/>
            <w:r>
              <w:rPr>
                <w:rFonts w:ascii="Georgia" w:eastAsia="Georgia" w:hAnsi="Georgia" w:cs="Georgia"/>
              </w:rPr>
              <w:t>kardiomiopatii</w:t>
            </w:r>
            <w:proofErr w:type="spellEnd"/>
            <w:r>
              <w:rPr>
                <w:rFonts w:ascii="Georgia" w:eastAsia="Georgia" w:hAnsi="Georgia" w:cs="Georgia"/>
              </w:rPr>
              <w:t>, zaburzeń rytmu serca, niewydolności serca, nadciśnienia tętniczego, nadciśnienia płucnego, omdleń;</w:t>
            </w:r>
          </w:p>
          <w:p w:rsidR="00143542" w:rsidRDefault="00F720DE">
            <w:pPr>
              <w:numPr>
                <w:ilvl w:val="1"/>
                <w:numId w:val="5"/>
              </w:numPr>
              <w:spacing w:line="276" w:lineRule="auto"/>
              <w:rPr>
                <w:rFonts w:ascii="Georgia" w:eastAsia="Georgia" w:hAnsi="Georgia" w:cs="Georgia"/>
              </w:rPr>
            </w:pPr>
            <w:r>
              <w:rPr>
                <w:rFonts w:ascii="Georgia" w:eastAsia="Georgia" w:hAnsi="Georgia" w:cs="Georgia"/>
              </w:rPr>
              <w:t>chorób układu oddechowego oraz alergii, w tym wad wrodzonych układu oddechowego, rozstrzeni oskrzeli, zakażeń układu oddechowego, gruźlicy, mukowiscydozy, astmy, alergicznego nieżytu nosa, pokrzywki, atopowego zapalenia skóry, wstrząsu anafilaktycznego, obrzęku naczynioworuchowego;</w:t>
            </w:r>
          </w:p>
          <w:p w:rsidR="00143542" w:rsidRDefault="00F720DE">
            <w:pPr>
              <w:numPr>
                <w:ilvl w:val="1"/>
                <w:numId w:val="5"/>
              </w:numPr>
              <w:spacing w:line="276" w:lineRule="auto"/>
              <w:rPr>
                <w:rFonts w:ascii="Georgia" w:eastAsia="Georgia" w:hAnsi="Georgia" w:cs="Georgia"/>
              </w:rPr>
            </w:pPr>
            <w:r>
              <w:rPr>
                <w:rFonts w:ascii="Georgia" w:eastAsia="Georgia" w:hAnsi="Georgia" w:cs="Georgia"/>
              </w:rPr>
              <w:t>niedokrwistości, skaz krwotocznych, stanów niewydolności szpiku, chorób nowotworowych wieku dziecięcego, w tym guzów litych typowych dla wieku dziecięcego, pierwotnych i wtórnych niedoborów odporności;</w:t>
            </w:r>
          </w:p>
          <w:p w:rsidR="00143542" w:rsidRDefault="00F720DE">
            <w:pPr>
              <w:numPr>
                <w:ilvl w:val="1"/>
                <w:numId w:val="5"/>
              </w:numPr>
              <w:spacing w:line="276" w:lineRule="auto"/>
              <w:rPr>
                <w:rFonts w:ascii="Georgia" w:eastAsia="Georgia" w:hAnsi="Georgia" w:cs="Georgia"/>
              </w:rPr>
            </w:pPr>
            <w:r>
              <w:rPr>
                <w:rFonts w:ascii="Georgia" w:eastAsia="Georgia" w:hAnsi="Georgia" w:cs="Georgia"/>
              </w:rPr>
              <w:t xml:space="preserve">ostrych i przewlekłych bólów brzucha, wymiotów, biegunek, zaparć, krwawień z przewodu pokarmowego, choroby wrzodowej, nieswoistych chorób jelit, chorób trzustki, </w:t>
            </w:r>
            <w:proofErr w:type="spellStart"/>
            <w:r>
              <w:rPr>
                <w:rFonts w:ascii="Georgia" w:eastAsia="Georgia" w:hAnsi="Georgia" w:cs="Georgia"/>
              </w:rPr>
              <w:t>cholestaz</w:t>
            </w:r>
            <w:proofErr w:type="spellEnd"/>
            <w:r>
              <w:rPr>
                <w:rFonts w:ascii="Georgia" w:eastAsia="Georgia" w:hAnsi="Georgia" w:cs="Georgia"/>
              </w:rPr>
              <w:t>, chorób wątroby, alergii pokarmowych, wad wrodzonych przewodu pokarmowego;</w:t>
            </w:r>
          </w:p>
          <w:p w:rsidR="00143542" w:rsidRDefault="00F720DE">
            <w:pPr>
              <w:numPr>
                <w:ilvl w:val="1"/>
                <w:numId w:val="5"/>
              </w:numPr>
              <w:spacing w:line="276" w:lineRule="auto"/>
              <w:rPr>
                <w:rFonts w:ascii="Georgia" w:eastAsia="Georgia" w:hAnsi="Georgia" w:cs="Georgia"/>
              </w:rPr>
            </w:pPr>
            <w:r>
              <w:rPr>
                <w:rFonts w:ascii="Georgia" w:eastAsia="Georgia" w:hAnsi="Georgia" w:cs="Georgia"/>
              </w:rPr>
              <w:t xml:space="preserve">ostrego uszkodzenia nerek, przewlekłej choroby nerek, zakażeń układu moczowego, zaburzeń oddawania moczu, wad wrodzonych układu moczowego, choroby </w:t>
            </w:r>
            <w:proofErr w:type="spellStart"/>
            <w:r>
              <w:rPr>
                <w:rFonts w:ascii="Georgia" w:eastAsia="Georgia" w:hAnsi="Georgia" w:cs="Georgia"/>
              </w:rPr>
              <w:t>refluksowej</w:t>
            </w:r>
            <w:proofErr w:type="spellEnd"/>
            <w:r>
              <w:rPr>
                <w:rFonts w:ascii="Georgia" w:eastAsia="Georgia" w:hAnsi="Georgia" w:cs="Georgia"/>
              </w:rPr>
              <w:t xml:space="preserve"> pęcherzowo-moczowodowej, kamicy nerkowej, chorób kłębuszków nerkowych, chorób cewkowo-śródmiąższowych (</w:t>
            </w:r>
            <w:proofErr w:type="spellStart"/>
            <w:r>
              <w:rPr>
                <w:rFonts w:ascii="Georgia" w:eastAsia="Georgia" w:hAnsi="Georgia" w:cs="Georgia"/>
              </w:rPr>
              <w:t>tubulopatie</w:t>
            </w:r>
            <w:proofErr w:type="spellEnd"/>
            <w:r>
              <w:rPr>
                <w:rFonts w:ascii="Georgia" w:eastAsia="Georgia" w:hAnsi="Georgia" w:cs="Georgia"/>
              </w:rPr>
              <w:t xml:space="preserve">, kwasice cewkowe), chorób nerek genetycznie uwarunkowanych, nadciśnienia </w:t>
            </w:r>
            <w:proofErr w:type="spellStart"/>
            <w:r>
              <w:rPr>
                <w:rFonts w:ascii="Georgia" w:eastAsia="Georgia" w:hAnsi="Georgia" w:cs="Georgia"/>
              </w:rPr>
              <w:t>nerkopochodnego</w:t>
            </w:r>
            <w:proofErr w:type="spellEnd"/>
            <w:r>
              <w:rPr>
                <w:rFonts w:ascii="Georgia" w:eastAsia="Georgia" w:hAnsi="Georgia" w:cs="Georgia"/>
              </w:rPr>
              <w:t>;</w:t>
            </w:r>
          </w:p>
          <w:p w:rsidR="00143542" w:rsidRDefault="00F720DE">
            <w:pPr>
              <w:numPr>
                <w:ilvl w:val="1"/>
                <w:numId w:val="5"/>
              </w:numPr>
              <w:spacing w:line="276" w:lineRule="auto"/>
              <w:rPr>
                <w:rFonts w:ascii="Georgia" w:eastAsia="Georgia" w:hAnsi="Georgia" w:cs="Georgia"/>
              </w:rPr>
            </w:pPr>
            <w:r>
              <w:rPr>
                <w:rFonts w:ascii="Georgia" w:eastAsia="Georgia" w:hAnsi="Georgia" w:cs="Georgia"/>
              </w:rPr>
              <w:t>zaburzeń wzrastania, chorób tarczycy i przytarczyc, chorób nadnerczy, cukrzycy, otyłości, zaburzeń dojrzewania, zaburzeń funkcji gonad;</w:t>
            </w:r>
          </w:p>
          <w:p w:rsidR="00143542" w:rsidRDefault="00F720DE">
            <w:pPr>
              <w:numPr>
                <w:ilvl w:val="1"/>
                <w:numId w:val="5"/>
              </w:numPr>
              <w:spacing w:line="276" w:lineRule="auto"/>
              <w:rPr>
                <w:rFonts w:ascii="Georgia" w:eastAsia="Georgia" w:hAnsi="Georgia" w:cs="Georgia"/>
              </w:rPr>
            </w:pPr>
            <w:r>
              <w:rPr>
                <w:rFonts w:ascii="Georgia" w:eastAsia="Georgia" w:hAnsi="Georgia" w:cs="Georgia"/>
              </w:rPr>
              <w:t xml:space="preserve">układowych chorób tkanki łącznej, w tym młodzieńczego idiopatycznego zapalenia stawów, tocznia rumieniowatego układowego, zapalenia </w:t>
            </w:r>
            <w:proofErr w:type="spellStart"/>
            <w:r>
              <w:rPr>
                <w:rFonts w:ascii="Georgia" w:eastAsia="Georgia" w:hAnsi="Georgia" w:cs="Georgia"/>
              </w:rPr>
              <w:t>skórno</w:t>
            </w:r>
            <w:proofErr w:type="spellEnd"/>
            <w:r>
              <w:rPr>
                <w:rFonts w:ascii="Georgia" w:eastAsia="Georgia" w:hAnsi="Georgia" w:cs="Georgia"/>
              </w:rPr>
              <w:t xml:space="preserve">--mięśniowego, układowych zapaleń naczyń, oraz innych przyczyn bólów </w:t>
            </w:r>
            <w:proofErr w:type="spellStart"/>
            <w:r>
              <w:rPr>
                <w:rFonts w:ascii="Georgia" w:eastAsia="Georgia" w:hAnsi="Georgia" w:cs="Georgia"/>
              </w:rPr>
              <w:t>kostno</w:t>
            </w:r>
            <w:proofErr w:type="spellEnd"/>
            <w:r>
              <w:rPr>
                <w:rFonts w:ascii="Georgia" w:eastAsia="Georgia" w:hAnsi="Georgia" w:cs="Georgia"/>
              </w:rPr>
              <w:t xml:space="preserve">--stawowych (niezapalnych, infekcyjnych i reaktywnych zapaleń stawów oraz </w:t>
            </w:r>
            <w:proofErr w:type="spellStart"/>
            <w:r>
              <w:rPr>
                <w:rFonts w:ascii="Georgia" w:eastAsia="Georgia" w:hAnsi="Georgia" w:cs="Georgia"/>
              </w:rPr>
              <w:t>spondyloartropatii</w:t>
            </w:r>
            <w:proofErr w:type="spellEnd"/>
            <w:r>
              <w:rPr>
                <w:rFonts w:ascii="Georgia" w:eastAsia="Georgia" w:hAnsi="Georgia" w:cs="Georgia"/>
              </w:rPr>
              <w:t xml:space="preserve"> młodzieńczych);</w:t>
            </w:r>
          </w:p>
          <w:p w:rsidR="00143542" w:rsidRDefault="00143542">
            <w:pPr>
              <w:ind w:left="23" w:right="489"/>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jc w:val="center"/>
              <w:rPr>
                <w:rFonts w:ascii="Georgia" w:eastAsia="Georgia" w:hAnsi="Georgia" w:cs="Georgia"/>
              </w:rPr>
            </w:pPr>
            <w:r>
              <w:rPr>
                <w:rFonts w:ascii="Georgia" w:eastAsia="Georgia" w:hAnsi="Georgia" w:cs="Georgia"/>
              </w:rPr>
              <w:t>E.W3</w:t>
            </w:r>
          </w:p>
          <w:p w:rsidR="00143542" w:rsidRDefault="00F720DE">
            <w:pPr>
              <w:spacing w:line="276" w:lineRule="auto"/>
              <w:jc w:val="center"/>
              <w:rPr>
                <w:rFonts w:ascii="Georgia" w:eastAsia="Georgia" w:hAnsi="Georgia" w:cs="Georgia"/>
              </w:rPr>
            </w:pPr>
            <w:r>
              <w:rPr>
                <w:rFonts w:ascii="Georgia" w:eastAsia="Georgia" w:hAnsi="Georgia" w:cs="Georgia"/>
              </w:rPr>
              <w:t>+++</w:t>
            </w:r>
          </w:p>
          <w:p w:rsidR="00143542" w:rsidRDefault="00143542">
            <w:pPr>
              <w:spacing w:line="276" w:lineRule="auto"/>
              <w:jc w:val="center"/>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234"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27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23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23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23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23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2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46"/>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W3</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 xml:space="preserve"> zagadnienia dziecka maltretowanego i dziecka wykorzystywanego seksualnie oraz zasady interwencji w przypadku takich pacjentów;</w:t>
            </w:r>
          </w:p>
          <w:p w:rsidR="00143542" w:rsidRDefault="00143542">
            <w:pPr>
              <w:spacing w:before="162"/>
              <w:ind w:left="23" w:right="153"/>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E.W4</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46"/>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W4</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zagadnienia upośledzenia umysłowego, zaburzeń zachowania, psychoz, uzależnień, zaburzeń ze spektrum autyzmu, zaburzeń odżywiania i wydalania u dzieci;</w:t>
            </w:r>
          </w:p>
          <w:p w:rsidR="00143542" w:rsidRDefault="00143542">
            <w:pPr>
              <w:ind w:left="23" w:right="92"/>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E.W5</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51"/>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W5</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podstawowe sposoby diagnostyki i terapii płodu;</w:t>
            </w:r>
          </w:p>
          <w:p w:rsidR="00143542" w:rsidRDefault="00143542">
            <w:pPr>
              <w:ind w:left="23"/>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E.W6</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51"/>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W6</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uwarunkowania środowiskowe i epidemiologiczne, przyczyny, objawy, zasady diagnozowania i postępowania terapeutycznego w przypadku najczęstszych chorób internistycznych występujących u dorosłych oraz ich powikłań:</w:t>
            </w:r>
          </w:p>
          <w:p w:rsidR="00143542" w:rsidRDefault="00F720DE">
            <w:pPr>
              <w:numPr>
                <w:ilvl w:val="0"/>
                <w:numId w:val="9"/>
              </w:numPr>
              <w:spacing w:line="276" w:lineRule="auto"/>
              <w:rPr>
                <w:rFonts w:ascii="Georgia" w:eastAsia="Georgia" w:hAnsi="Georgia" w:cs="Georgia"/>
              </w:rPr>
            </w:pPr>
            <w:r>
              <w:rPr>
                <w:rFonts w:ascii="Georgia" w:eastAsia="Georgia" w:hAnsi="Georgia" w:cs="Georgia"/>
              </w:rPr>
              <w:t>chorób układu krążenia, w tym choroby niedokrwiennej serca, wad serca, chorób wsierdzia, mięśnia serca, osierdzia, niewydolności serca (ostrej i przewlekłej), chorób naczyń tętniczych i żylnych, nadciśnienia tętniczego (pierwotnego i wtórnego), nadciśnienia płucnego;</w:t>
            </w:r>
          </w:p>
          <w:p w:rsidR="00143542" w:rsidRDefault="00F720DE">
            <w:pPr>
              <w:numPr>
                <w:ilvl w:val="0"/>
                <w:numId w:val="9"/>
              </w:numPr>
              <w:spacing w:line="276" w:lineRule="auto"/>
              <w:rPr>
                <w:rFonts w:ascii="Georgia" w:eastAsia="Georgia" w:hAnsi="Georgia" w:cs="Georgia"/>
              </w:rPr>
            </w:pPr>
            <w:r>
              <w:rPr>
                <w:rFonts w:ascii="Georgia" w:eastAsia="Georgia" w:hAnsi="Georgia" w:cs="Georgia"/>
              </w:rPr>
              <w:t>chorób układu oddechowego, w tym chorób dróg oddechowych, przewlekłej obturacyjnej choroby płuc, astmy, rozstrzeni oskrzeli, mukowiscydozy, zakażeń układu oddechowego, gruźlicy, chorób śródmiąższowych płuc, opłucnej, śródpiersia, obturacyjnego i centralnego bezdechu sennego, niewydolności oddechowej (ostrej i przewlekłej), nowotworów układu oddechowego;</w:t>
            </w:r>
          </w:p>
          <w:p w:rsidR="00143542" w:rsidRDefault="00F720DE">
            <w:pPr>
              <w:numPr>
                <w:ilvl w:val="0"/>
                <w:numId w:val="9"/>
              </w:numPr>
              <w:spacing w:line="276" w:lineRule="auto"/>
              <w:rPr>
                <w:rFonts w:ascii="Georgia" w:eastAsia="Georgia" w:hAnsi="Georgia" w:cs="Georgia"/>
              </w:rPr>
            </w:pPr>
            <w:r>
              <w:rPr>
                <w:rFonts w:ascii="Georgia" w:eastAsia="Georgia" w:hAnsi="Georgia" w:cs="Georgia"/>
              </w:rPr>
              <w:t xml:space="preserve">chorób układu pokarmowego, w tym chorób jamy ustnej, przełyku, żołądka i dwunastnicy, jelit, trzustki, wątroby, dróg żółciowych i pęcherzyka żółciowego, nowotworów układu pokarmowego; </w:t>
            </w:r>
          </w:p>
          <w:p w:rsidR="00143542" w:rsidRDefault="00F720DE">
            <w:pPr>
              <w:numPr>
                <w:ilvl w:val="0"/>
                <w:numId w:val="9"/>
              </w:numPr>
              <w:spacing w:line="276" w:lineRule="auto"/>
              <w:rPr>
                <w:rFonts w:ascii="Georgia" w:eastAsia="Georgia" w:hAnsi="Georgia" w:cs="Georgia"/>
              </w:rPr>
            </w:pPr>
            <w:r>
              <w:rPr>
                <w:rFonts w:ascii="Georgia" w:eastAsia="Georgia" w:hAnsi="Georgia" w:cs="Georgia"/>
              </w:rPr>
              <w:t xml:space="preserve">chorób układu wydzielania wewnętrznego, w tym chorób podwzgórza i przysadki, tarczycy, przytarczyc, kory i rdzenia nadnerczy, jajników i jąder, oraz guzów neuroendokrynnych, zespołów wielogruczołowych, różnych typów cukrzycy, zespołu metabolicznego, otyłości, </w:t>
            </w:r>
            <w:proofErr w:type="spellStart"/>
            <w:r>
              <w:rPr>
                <w:rFonts w:ascii="Georgia" w:eastAsia="Georgia" w:hAnsi="Georgia" w:cs="Georgia"/>
              </w:rPr>
              <w:t>dyslipidemii</w:t>
            </w:r>
            <w:proofErr w:type="spellEnd"/>
            <w:r>
              <w:rPr>
                <w:rFonts w:ascii="Georgia" w:eastAsia="Georgia" w:hAnsi="Georgia" w:cs="Georgia"/>
              </w:rPr>
              <w:t xml:space="preserve"> i hipoglikemii, nowotworów jajników, jąder i tarczycy, nowotworów neuroendokrynnych;</w:t>
            </w:r>
          </w:p>
          <w:p w:rsidR="00143542" w:rsidRDefault="00F720DE">
            <w:pPr>
              <w:numPr>
                <w:ilvl w:val="0"/>
                <w:numId w:val="9"/>
              </w:numPr>
              <w:spacing w:line="276" w:lineRule="auto"/>
              <w:rPr>
                <w:rFonts w:ascii="Georgia" w:eastAsia="Georgia" w:hAnsi="Georgia" w:cs="Georgia"/>
              </w:rPr>
            </w:pPr>
            <w:r>
              <w:rPr>
                <w:rFonts w:ascii="Georgia" w:eastAsia="Georgia" w:hAnsi="Georgia" w:cs="Georgia"/>
              </w:rPr>
              <w:t xml:space="preserve">chorób nerek i dróg moczowych, w tym ostrego uszkodzenia nerek i przewlekłej choroby nerek we wszystkich stadiach oraz ich powikłań, chorób kłębuszków nerkowych (pierwotnych i wtórnych, w tym nefropatii cukrzycowej i chorób układowych) i chorób śródmiąższowych nerek, nadciśnienia </w:t>
            </w:r>
            <w:proofErr w:type="spellStart"/>
            <w:r>
              <w:rPr>
                <w:rFonts w:ascii="Georgia" w:eastAsia="Georgia" w:hAnsi="Georgia" w:cs="Georgia"/>
              </w:rPr>
              <w:t>nerkopochodnego</w:t>
            </w:r>
            <w:proofErr w:type="spellEnd"/>
            <w:r>
              <w:rPr>
                <w:rFonts w:ascii="Georgia" w:eastAsia="Georgia" w:hAnsi="Georgia" w:cs="Georgia"/>
              </w:rPr>
              <w:t>, torbieli nerek, kamicy nerkowej, zakażeń układu moczowego (górnego i dolnego odcinka), chorób nerek w okresie ciąży, nowotworów układu moczowego – nowotworów nerek, pęcherza moczowego, gruczołu krokowego;</w:t>
            </w:r>
          </w:p>
          <w:p w:rsidR="00143542" w:rsidRDefault="00F720DE">
            <w:pPr>
              <w:numPr>
                <w:ilvl w:val="0"/>
                <w:numId w:val="9"/>
              </w:numPr>
              <w:spacing w:line="276" w:lineRule="auto"/>
              <w:rPr>
                <w:rFonts w:ascii="Georgia" w:eastAsia="Georgia" w:hAnsi="Georgia" w:cs="Georgia"/>
              </w:rPr>
            </w:pPr>
            <w:r>
              <w:rPr>
                <w:rFonts w:ascii="Georgia" w:eastAsia="Georgia" w:hAnsi="Georgia" w:cs="Georgia"/>
              </w:rPr>
              <w:t xml:space="preserve">chorób układu krwiotwórczego, w tym aplazji szpiku, niedokrwistości, </w:t>
            </w:r>
            <w:proofErr w:type="spellStart"/>
            <w:r>
              <w:rPr>
                <w:rFonts w:ascii="Georgia" w:eastAsia="Georgia" w:hAnsi="Georgia" w:cs="Georgia"/>
              </w:rPr>
              <w:t>granulocytopenii</w:t>
            </w:r>
            <w:proofErr w:type="spellEnd"/>
            <w:r>
              <w:rPr>
                <w:rFonts w:ascii="Georgia" w:eastAsia="Georgia" w:hAnsi="Georgia" w:cs="Georgia"/>
              </w:rPr>
              <w:t xml:space="preserve"> i agranulocytozy, małopłytkowości, białaczek ostrych i przewlekłych, szpiczaków, nowotworów </w:t>
            </w:r>
            <w:proofErr w:type="spellStart"/>
            <w:r>
              <w:rPr>
                <w:rFonts w:ascii="Georgia" w:eastAsia="Georgia" w:hAnsi="Georgia" w:cs="Georgia"/>
              </w:rPr>
              <w:t>mielo</w:t>
            </w:r>
            <w:proofErr w:type="spellEnd"/>
            <w:r>
              <w:rPr>
                <w:rFonts w:ascii="Georgia" w:eastAsia="Georgia" w:hAnsi="Georgia" w:cs="Georgia"/>
              </w:rPr>
              <w:t xml:space="preserve">- i limfoproliferacyjnych, zespołów </w:t>
            </w:r>
            <w:proofErr w:type="spellStart"/>
            <w:r>
              <w:rPr>
                <w:rFonts w:ascii="Georgia" w:eastAsia="Georgia" w:hAnsi="Georgia" w:cs="Georgia"/>
              </w:rPr>
              <w:t>mielodysplastycznych</w:t>
            </w:r>
            <w:proofErr w:type="spellEnd"/>
            <w:r>
              <w:rPr>
                <w:rFonts w:ascii="Georgia" w:eastAsia="Georgia" w:hAnsi="Georgia" w:cs="Georgia"/>
              </w:rPr>
              <w:t xml:space="preserve">, skaz krwotocznych, </w:t>
            </w:r>
            <w:proofErr w:type="spellStart"/>
            <w:r>
              <w:rPr>
                <w:rFonts w:ascii="Georgia" w:eastAsia="Georgia" w:hAnsi="Georgia" w:cs="Georgia"/>
              </w:rPr>
              <w:t>trombofilii</w:t>
            </w:r>
            <w:proofErr w:type="spellEnd"/>
            <w:r>
              <w:rPr>
                <w:rFonts w:ascii="Georgia" w:eastAsia="Georgia" w:hAnsi="Georgia" w:cs="Georgia"/>
              </w:rPr>
              <w:t>, zaburzeń krwi w chorobach innych narządów;</w:t>
            </w:r>
          </w:p>
          <w:p w:rsidR="00143542" w:rsidRDefault="00F720DE">
            <w:pPr>
              <w:numPr>
                <w:ilvl w:val="0"/>
                <w:numId w:val="9"/>
              </w:numPr>
              <w:spacing w:line="276" w:lineRule="auto"/>
              <w:rPr>
                <w:rFonts w:ascii="Georgia" w:eastAsia="Georgia" w:hAnsi="Georgia" w:cs="Georgia"/>
              </w:rPr>
            </w:pPr>
            <w:r>
              <w:rPr>
                <w:rFonts w:ascii="Georgia" w:eastAsia="Georgia" w:hAnsi="Georgia" w:cs="Georgia"/>
              </w:rPr>
              <w:t xml:space="preserve">chorób reumatycznych, w tym chorób układowych tkanki łącznej (reumatoidalnego zapalenia stawów, wczesnego zapalenia stawów, tocznia rumieniowatego układowego, zespołu </w:t>
            </w:r>
            <w:proofErr w:type="spellStart"/>
            <w:r>
              <w:rPr>
                <w:rFonts w:ascii="Georgia" w:eastAsia="Georgia" w:hAnsi="Georgia" w:cs="Georgia"/>
              </w:rPr>
              <w:t>Sjögrena</w:t>
            </w:r>
            <w:proofErr w:type="spellEnd"/>
            <w:r>
              <w:rPr>
                <w:rFonts w:ascii="Georgia" w:eastAsia="Georgia" w:hAnsi="Georgia" w:cs="Georgia"/>
              </w:rPr>
              <w:t xml:space="preserve">, </w:t>
            </w:r>
            <w:proofErr w:type="spellStart"/>
            <w:r>
              <w:rPr>
                <w:rFonts w:ascii="Georgia" w:eastAsia="Georgia" w:hAnsi="Georgia" w:cs="Georgia"/>
              </w:rPr>
              <w:t>sarkoidozy</w:t>
            </w:r>
            <w:proofErr w:type="spellEnd"/>
            <w:r>
              <w:rPr>
                <w:rFonts w:ascii="Georgia" w:eastAsia="Georgia" w:hAnsi="Georgia" w:cs="Georgia"/>
              </w:rPr>
              <w:t xml:space="preserve">, twardziny układowej, idiopatycznych miopatii zapalnych), </w:t>
            </w:r>
            <w:proofErr w:type="spellStart"/>
            <w:r>
              <w:rPr>
                <w:rFonts w:ascii="Georgia" w:eastAsia="Georgia" w:hAnsi="Georgia" w:cs="Georgia"/>
              </w:rPr>
              <w:t>spondyloartropatii</w:t>
            </w:r>
            <w:proofErr w:type="spellEnd"/>
            <w:r>
              <w:rPr>
                <w:rFonts w:ascii="Georgia" w:eastAsia="Georgia" w:hAnsi="Georgia" w:cs="Georgia"/>
              </w:rPr>
              <w:t xml:space="preserve">, </w:t>
            </w:r>
            <w:proofErr w:type="spellStart"/>
            <w:r>
              <w:rPr>
                <w:rFonts w:ascii="Georgia" w:eastAsia="Georgia" w:hAnsi="Georgia" w:cs="Georgia"/>
              </w:rPr>
              <w:t>krystalopatii</w:t>
            </w:r>
            <w:proofErr w:type="spellEnd"/>
            <w:r>
              <w:rPr>
                <w:rFonts w:ascii="Georgia" w:eastAsia="Georgia" w:hAnsi="Georgia" w:cs="Georgia"/>
              </w:rPr>
              <w:t xml:space="preserve">, rumienia guzowatego, zapaleń stawów związanych z czynnikami infekcyjnymi, zapaleń naczyń oraz niezapalnych chorób stawów i kości (choroby zwyrodnieniowej, reumatyzmu tkanek miękkich, osteoporozy, </w:t>
            </w:r>
            <w:proofErr w:type="spellStart"/>
            <w:r>
              <w:rPr>
                <w:rFonts w:ascii="Georgia" w:eastAsia="Georgia" w:hAnsi="Georgia" w:cs="Georgia"/>
              </w:rPr>
              <w:t>fibromialgii</w:t>
            </w:r>
            <w:proofErr w:type="spellEnd"/>
            <w:r>
              <w:rPr>
                <w:rFonts w:ascii="Georgia" w:eastAsia="Georgia" w:hAnsi="Georgia" w:cs="Georgia"/>
              </w:rPr>
              <w:t>), mięsaków tkanek miękkich i kości</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E.W7</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92"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9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2598"/>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W7</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uwarunkowania środowiskowe i epidemiologiczne, przyczyny, objawy, zasady diagnozowania i postępowania terapeutycznego w przypadku najczęstszych chorób neurologicznych oraz ich powikłań:</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 xml:space="preserve">bólów głowy, w tym migreny, napięciowego bólu głowy i zespołów bólów głowy oraz neuralgii nerwu V; </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 xml:space="preserve">chorób naczyniowych mózgu, w szczególności udaru mózgu; </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padaczki ;</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 xml:space="preserve">zakażeń układu nerwowego, w szczególności zapalenia opon mózgowo-rdzeniowych, boreliozy, opryszczkowego zapalenia mózgu, chorób neurotransmisyjnych; </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otępień, w szczególności choroby Alzheimera, otępienia czołowego, otępienia naczyniopochodnego i innych zespołów otępiennych;</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chorób jąder podstawy, w szczególności choroby Parkinsona;</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chorób demielinizacyjnych, w szczególności stwardnienia rozsianego;</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chorób układu nerwowo-mięśniowego, w szczególności stwardnienia zanikowego bocznego, rwy kulszowej, neuropatii uciskowych;</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urazów czaszkowo-mózgowych, w szczególności wstrząśnienia mózgu;</w:t>
            </w:r>
          </w:p>
          <w:p w:rsidR="00143542" w:rsidRDefault="00F720DE">
            <w:pPr>
              <w:numPr>
                <w:ilvl w:val="1"/>
                <w:numId w:val="5"/>
              </w:numPr>
              <w:spacing w:line="276" w:lineRule="auto"/>
              <w:ind w:firstLine="0"/>
              <w:rPr>
                <w:rFonts w:ascii="Georgia" w:eastAsia="Georgia" w:hAnsi="Georgia" w:cs="Georgia"/>
              </w:rPr>
            </w:pPr>
            <w:r>
              <w:rPr>
                <w:rFonts w:ascii="Georgia" w:eastAsia="Georgia" w:hAnsi="Georgia" w:cs="Georgia"/>
              </w:rPr>
              <w:t>nowotworów;</w:t>
            </w:r>
          </w:p>
          <w:p w:rsidR="00143542" w:rsidRDefault="00143542">
            <w:pPr>
              <w:ind w:left="23"/>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E.W16</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5400"/>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W8</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 xml:space="preserve"> zagadnienia z zakresu onkologii, w tym:</w:t>
            </w:r>
          </w:p>
          <w:p w:rsidR="00143542" w:rsidRDefault="00F720DE">
            <w:pPr>
              <w:spacing w:line="276" w:lineRule="auto"/>
              <w:ind w:left="360"/>
              <w:rPr>
                <w:rFonts w:ascii="Georgia" w:eastAsia="Georgia" w:hAnsi="Georgia" w:cs="Georgia"/>
              </w:rPr>
            </w:pPr>
            <w:r>
              <w:rPr>
                <w:rFonts w:ascii="Georgia" w:eastAsia="Georgia" w:hAnsi="Georgia" w:cs="Georgia"/>
              </w:rPr>
              <w:t xml:space="preserve">uwarunkowania genetyczne, środowiskowe i epidemiologiczne, przyczyny, objawy, zasady diagnozowania i postępowania terapeutycznego w najczęstszych nowotworach i ich </w:t>
            </w:r>
            <w:proofErr w:type="spellStart"/>
            <w:r>
              <w:rPr>
                <w:rFonts w:ascii="Georgia" w:eastAsia="Georgia" w:hAnsi="Georgia" w:cs="Georgia"/>
              </w:rPr>
              <w:t>powikłaniach;najczęstsze</w:t>
            </w:r>
            <w:proofErr w:type="spellEnd"/>
            <w:r>
              <w:rPr>
                <w:rFonts w:ascii="Georgia" w:eastAsia="Georgia" w:hAnsi="Georgia" w:cs="Georgia"/>
              </w:rPr>
              <w:t xml:space="preserve"> zespoły paranowotworowe i ich objawy kliniczne;</w:t>
            </w:r>
          </w:p>
          <w:p w:rsidR="00143542" w:rsidRDefault="00F720DE">
            <w:pPr>
              <w:numPr>
                <w:ilvl w:val="0"/>
                <w:numId w:val="11"/>
              </w:numPr>
              <w:spacing w:line="276" w:lineRule="auto"/>
              <w:rPr>
                <w:rFonts w:ascii="Georgia" w:eastAsia="Georgia" w:hAnsi="Georgia" w:cs="Georgia"/>
              </w:rPr>
            </w:pPr>
            <w:r>
              <w:rPr>
                <w:rFonts w:ascii="Georgia" w:eastAsia="Georgia" w:hAnsi="Georgia" w:cs="Georgia"/>
              </w:rPr>
              <w:t>podstawy wczesnego wykrywania nowotworów, zasady badań przesiewowych oraz działania profilaktyczne w onkologii;</w:t>
            </w:r>
          </w:p>
          <w:p w:rsidR="00143542" w:rsidRDefault="00F720DE">
            <w:pPr>
              <w:numPr>
                <w:ilvl w:val="0"/>
                <w:numId w:val="11"/>
              </w:numPr>
              <w:spacing w:line="276" w:lineRule="auto"/>
              <w:rPr>
                <w:rFonts w:ascii="Georgia" w:eastAsia="Georgia" w:hAnsi="Georgia" w:cs="Georgia"/>
              </w:rPr>
            </w:pPr>
            <w:r>
              <w:rPr>
                <w:rFonts w:ascii="Georgia" w:eastAsia="Georgia" w:hAnsi="Georgia" w:cs="Georgia"/>
              </w:rPr>
              <w:t>możliwości i ograniczenia współczesnego leczenia nowotworów (metody chirurgiczne, radioterapia i metody systemowe, w tym immunoterapia), wskazania do terapii komórkowych i genowych oraz leczenia celowanego i spersonalizowanego;</w:t>
            </w:r>
          </w:p>
          <w:p w:rsidR="00143542" w:rsidRDefault="00F720DE">
            <w:pPr>
              <w:numPr>
                <w:ilvl w:val="0"/>
                <w:numId w:val="11"/>
              </w:numPr>
              <w:spacing w:line="276" w:lineRule="auto"/>
              <w:rPr>
                <w:rFonts w:ascii="Georgia" w:eastAsia="Georgia" w:hAnsi="Georgia" w:cs="Georgia"/>
              </w:rPr>
            </w:pPr>
            <w:r>
              <w:rPr>
                <w:rFonts w:ascii="Georgia" w:eastAsia="Georgia" w:hAnsi="Georgia" w:cs="Georgia"/>
              </w:rPr>
              <w:t>powikłania wczesne i odległe leczenia onkologicznego;</w:t>
            </w:r>
          </w:p>
          <w:p w:rsidR="00143542" w:rsidRDefault="00F720DE">
            <w:pPr>
              <w:numPr>
                <w:ilvl w:val="0"/>
                <w:numId w:val="11"/>
              </w:numPr>
              <w:spacing w:line="276" w:lineRule="auto"/>
              <w:rPr>
                <w:rFonts w:ascii="Georgia" w:eastAsia="Georgia" w:hAnsi="Georgia" w:cs="Georgia"/>
              </w:rPr>
            </w:pPr>
            <w:r>
              <w:rPr>
                <w:rFonts w:ascii="Georgia" w:eastAsia="Georgia" w:hAnsi="Georgia" w:cs="Georgia"/>
              </w:rPr>
              <w:t>rolę leczenia wspomagającego, w tym żywieniowego;</w:t>
            </w:r>
          </w:p>
          <w:p w:rsidR="00143542" w:rsidRDefault="00F720DE">
            <w:pPr>
              <w:numPr>
                <w:ilvl w:val="0"/>
                <w:numId w:val="11"/>
              </w:numPr>
              <w:spacing w:line="276" w:lineRule="auto"/>
              <w:rPr>
                <w:rFonts w:ascii="Georgia" w:eastAsia="Georgia" w:hAnsi="Georgia" w:cs="Georgia"/>
              </w:rPr>
            </w:pPr>
            <w:r>
              <w:rPr>
                <w:rFonts w:ascii="Georgia" w:eastAsia="Georgia" w:hAnsi="Georgia" w:cs="Georgia"/>
              </w:rPr>
              <w:t>zasady organizacji opieki nad pacjentem onkologicznym, w tym poradnictwo genetyczne i opiekę wielodyscyplinarną;</w:t>
            </w:r>
          </w:p>
          <w:p w:rsidR="00143542" w:rsidRDefault="00F720DE">
            <w:pPr>
              <w:numPr>
                <w:ilvl w:val="0"/>
                <w:numId w:val="11"/>
              </w:numPr>
              <w:spacing w:line="276" w:lineRule="auto"/>
              <w:rPr>
                <w:rFonts w:ascii="Georgia" w:eastAsia="Georgia" w:hAnsi="Georgia" w:cs="Georgia"/>
              </w:rPr>
            </w:pPr>
            <w:r>
              <w:rPr>
                <w:rFonts w:ascii="Georgia" w:eastAsia="Georgia" w:hAnsi="Georgia" w:cs="Georgia"/>
              </w:rPr>
              <w:t>praktyczne aspekty statystyki w onkologii, w tym zasady interpretacji wyników badań klinicznych;</w:t>
            </w:r>
          </w:p>
          <w:p w:rsidR="00143542" w:rsidRDefault="00F720DE">
            <w:pPr>
              <w:numPr>
                <w:ilvl w:val="0"/>
                <w:numId w:val="11"/>
              </w:numPr>
              <w:spacing w:line="276" w:lineRule="auto"/>
              <w:rPr>
                <w:rFonts w:ascii="Georgia" w:eastAsia="Georgia" w:hAnsi="Georgia" w:cs="Georgia"/>
              </w:rPr>
            </w:pPr>
            <w:r>
              <w:rPr>
                <w:rFonts w:ascii="Georgia" w:eastAsia="Georgia" w:hAnsi="Georgia" w:cs="Georgia"/>
              </w:rPr>
              <w:t>najważniejsze skale i klasyfikacje stosowane w onkologii;</w:t>
            </w:r>
          </w:p>
          <w:p w:rsidR="00143542" w:rsidRDefault="00F720DE">
            <w:pPr>
              <w:numPr>
                <w:ilvl w:val="0"/>
                <w:numId w:val="11"/>
              </w:numPr>
              <w:spacing w:line="276" w:lineRule="auto"/>
              <w:rPr>
                <w:rFonts w:ascii="Georgia" w:eastAsia="Georgia" w:hAnsi="Georgia" w:cs="Georgia"/>
              </w:rPr>
            </w:pPr>
            <w:r>
              <w:rPr>
                <w:rFonts w:ascii="Georgia" w:eastAsia="Georgia" w:hAnsi="Georgia" w:cs="Georgia"/>
              </w:rPr>
              <w:t>zasady przeprowadzania ukierunkowanych badań fizykalnych dorosłego w zakresie piersi i gruczołu krokowego;</w:t>
            </w:r>
          </w:p>
          <w:p w:rsidR="00143542" w:rsidRDefault="00F720DE">
            <w:pPr>
              <w:numPr>
                <w:ilvl w:val="0"/>
                <w:numId w:val="11"/>
              </w:numPr>
              <w:spacing w:line="276" w:lineRule="auto"/>
              <w:rPr>
                <w:rFonts w:ascii="Georgia" w:eastAsia="Georgia" w:hAnsi="Georgia" w:cs="Georgia"/>
              </w:rPr>
            </w:pPr>
            <w:r>
              <w:rPr>
                <w:rFonts w:ascii="Georgia" w:eastAsia="Georgia" w:hAnsi="Georgia" w:cs="Georgia"/>
              </w:rPr>
              <w:t>zasady planowania postępowania diagnostycznego, terapeutycznego i profilaktycznego w zakresie leczenia nowotworów na podstawie wyników badań i dostarczonej dokumentacji medycznej;</w:t>
            </w:r>
          </w:p>
          <w:p w:rsidR="00143542" w:rsidRDefault="00143542">
            <w:pPr>
              <w:ind w:left="23"/>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E.W24</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51"/>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sz w:val="20"/>
                <w:szCs w:val="20"/>
              </w:rPr>
              <w:t>W9</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 xml:space="preserve">uwarunkowania środowiskowe i epidemiologiczne, przyczyny, objawy, zasady diagnozowania i postępowania terapeutycznego oraz profilaktycznego najczęstszych chorób zakaźnych oraz ich powikłań: </w:t>
            </w:r>
          </w:p>
          <w:p w:rsidR="00143542" w:rsidRDefault="00F720DE">
            <w:pPr>
              <w:numPr>
                <w:ilvl w:val="1"/>
                <w:numId w:val="1"/>
              </w:numPr>
              <w:spacing w:line="276" w:lineRule="auto"/>
              <w:rPr>
                <w:rFonts w:ascii="Georgia" w:eastAsia="Georgia" w:hAnsi="Georgia" w:cs="Georgia"/>
              </w:rPr>
            </w:pPr>
            <w:r>
              <w:rPr>
                <w:rFonts w:ascii="Georgia" w:eastAsia="Georgia" w:hAnsi="Georgia" w:cs="Georgia"/>
              </w:rPr>
              <w:t xml:space="preserve">chorób bakteryjnych, w tym zakażeń paciorkowcowych, gronkowcowych, </w:t>
            </w:r>
            <w:proofErr w:type="spellStart"/>
            <w:r>
              <w:rPr>
                <w:rFonts w:ascii="Georgia" w:eastAsia="Georgia" w:hAnsi="Georgia" w:cs="Georgia"/>
              </w:rPr>
              <w:t>pneumokokowych</w:t>
            </w:r>
            <w:proofErr w:type="spellEnd"/>
            <w:r>
              <w:rPr>
                <w:rFonts w:ascii="Georgia" w:eastAsia="Georgia" w:hAnsi="Georgia" w:cs="Georgia"/>
              </w:rPr>
              <w:t xml:space="preserve"> i </w:t>
            </w:r>
            <w:proofErr w:type="spellStart"/>
            <w:r>
              <w:rPr>
                <w:rFonts w:ascii="Georgia" w:eastAsia="Georgia" w:hAnsi="Georgia" w:cs="Georgia"/>
              </w:rPr>
              <w:t>meningokokowych</w:t>
            </w:r>
            <w:proofErr w:type="spellEnd"/>
            <w:r>
              <w:rPr>
                <w:rFonts w:ascii="Georgia" w:eastAsia="Georgia" w:hAnsi="Georgia" w:cs="Georgia"/>
              </w:rPr>
              <w:t>, krztuśca, gruźlicy, boreliozy i zakażeń przewodu pokarmowego;</w:t>
            </w:r>
          </w:p>
          <w:p w:rsidR="00143542" w:rsidRDefault="00F720DE">
            <w:pPr>
              <w:numPr>
                <w:ilvl w:val="1"/>
                <w:numId w:val="1"/>
              </w:numPr>
              <w:spacing w:line="276" w:lineRule="auto"/>
              <w:rPr>
                <w:rFonts w:ascii="Georgia" w:eastAsia="Georgia" w:hAnsi="Georgia" w:cs="Georgia"/>
              </w:rPr>
            </w:pPr>
            <w:r>
              <w:rPr>
                <w:rFonts w:ascii="Georgia" w:eastAsia="Georgia" w:hAnsi="Georgia" w:cs="Georgia"/>
              </w:rPr>
              <w:t xml:space="preserve">chorób wirusowych, w tym zakażeń dróg oddechowych i przewodu pokarmowego, wirusowych zapaleń wątroby, zakażeń wirusami </w:t>
            </w:r>
            <w:proofErr w:type="spellStart"/>
            <w:r>
              <w:rPr>
                <w:rFonts w:ascii="Georgia" w:eastAsia="Georgia" w:hAnsi="Georgia" w:cs="Georgia"/>
                <w:i/>
              </w:rPr>
              <w:t>Herpesviridae</w:t>
            </w:r>
            <w:proofErr w:type="spellEnd"/>
            <w:r>
              <w:rPr>
                <w:rFonts w:ascii="Georgia" w:eastAsia="Georgia" w:hAnsi="Georgia" w:cs="Georgia"/>
              </w:rPr>
              <w:t>, ludzkim wirusem niedoboru odporności i wirusami neurotropowymi;</w:t>
            </w:r>
          </w:p>
          <w:p w:rsidR="00143542" w:rsidRDefault="00F720DE">
            <w:pPr>
              <w:numPr>
                <w:ilvl w:val="1"/>
                <w:numId w:val="1"/>
              </w:numPr>
              <w:spacing w:line="276" w:lineRule="auto"/>
              <w:rPr>
                <w:rFonts w:ascii="Georgia" w:eastAsia="Georgia" w:hAnsi="Georgia" w:cs="Georgia"/>
              </w:rPr>
            </w:pPr>
            <w:r>
              <w:rPr>
                <w:rFonts w:ascii="Georgia" w:eastAsia="Georgia" w:hAnsi="Georgia" w:cs="Georgia"/>
              </w:rPr>
              <w:t xml:space="preserve">chorób pasożytniczych, w tym </w:t>
            </w:r>
            <w:proofErr w:type="spellStart"/>
            <w:r>
              <w:rPr>
                <w:rFonts w:ascii="Georgia" w:eastAsia="Georgia" w:hAnsi="Georgia" w:cs="Georgia"/>
              </w:rPr>
              <w:t>giardiozy</w:t>
            </w:r>
            <w:proofErr w:type="spellEnd"/>
            <w:r>
              <w:rPr>
                <w:rFonts w:ascii="Georgia" w:eastAsia="Georgia" w:hAnsi="Georgia" w:cs="Georgia"/>
              </w:rPr>
              <w:t xml:space="preserve">, amebozy, toksoplazmozy, malarii, </w:t>
            </w:r>
            <w:proofErr w:type="spellStart"/>
            <w:r>
              <w:rPr>
                <w:rFonts w:ascii="Georgia" w:eastAsia="Georgia" w:hAnsi="Georgia" w:cs="Georgia"/>
              </w:rPr>
              <w:t>toksokarozy</w:t>
            </w:r>
            <w:proofErr w:type="spellEnd"/>
            <w:r>
              <w:rPr>
                <w:rFonts w:ascii="Georgia" w:eastAsia="Georgia" w:hAnsi="Georgia" w:cs="Georgia"/>
              </w:rPr>
              <w:t>, włośnicy, glistnicy, tasiemczycy i owsicy;</w:t>
            </w:r>
          </w:p>
          <w:p w:rsidR="00143542" w:rsidRDefault="00F720DE">
            <w:pPr>
              <w:numPr>
                <w:ilvl w:val="1"/>
                <w:numId w:val="1"/>
              </w:numPr>
              <w:spacing w:line="276" w:lineRule="auto"/>
              <w:rPr>
                <w:rFonts w:ascii="Georgia" w:eastAsia="Georgia" w:hAnsi="Georgia" w:cs="Georgia"/>
              </w:rPr>
            </w:pPr>
            <w:r>
              <w:rPr>
                <w:rFonts w:ascii="Georgia" w:eastAsia="Georgia" w:hAnsi="Georgia" w:cs="Georgia"/>
              </w:rPr>
              <w:t>grzybic, w tym kandydozy, aspergilozy i pneumocystozy;</w:t>
            </w:r>
          </w:p>
          <w:p w:rsidR="00143542" w:rsidRDefault="00F720DE">
            <w:pPr>
              <w:numPr>
                <w:ilvl w:val="1"/>
                <w:numId w:val="1"/>
              </w:numPr>
              <w:spacing w:line="276" w:lineRule="auto"/>
              <w:rPr>
                <w:rFonts w:ascii="Georgia" w:eastAsia="Georgia" w:hAnsi="Georgia" w:cs="Georgia"/>
              </w:rPr>
            </w:pPr>
            <w:r>
              <w:rPr>
                <w:rFonts w:ascii="Georgia" w:eastAsia="Georgia" w:hAnsi="Georgia" w:cs="Georgia"/>
              </w:rPr>
              <w:t>zakażeń szpitalnych;</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E.W33</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51"/>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W10</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Times New Roman" w:eastAsia="Times New Roman" w:hAnsi="Times New Roman" w:cs="Times New Roman"/>
                <w:sz w:val="20"/>
                <w:szCs w:val="20"/>
              </w:rPr>
            </w:pPr>
            <w:r>
              <w:rPr>
                <w:rFonts w:ascii="Georgia" w:eastAsia="Georgia" w:hAnsi="Georgia" w:cs="Georgia"/>
              </w:rPr>
              <w:t>uwarunkowania środowiskowe i epidemiologiczne, przyczyny, objawy, zasady diagnozowania i postępowania terapeutycznego w najczęstszych chorobach dermatologicznych i przenoszonych drogą płciową;</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E.W35</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51"/>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W11</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przyczyny, objawy, zasady diagnozowania i postępowania terapeutycznego w najczęstszych chorobach uwarunkowanych genetycznie u dzieci i dorosłych;</w:t>
            </w:r>
          </w:p>
          <w:p w:rsidR="00143542" w:rsidRDefault="00143542">
            <w:pPr>
              <w:ind w:left="23"/>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E.W36</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51"/>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W12</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uwarunkowania środowiskowe i epidemiologiczne, przyczyny, objawy, zasady diagnozowania i postępowania terapeutycznego w najczęstszych chorobach w praktyce lekarza rodzinnego;</w:t>
            </w:r>
          </w:p>
          <w:p w:rsidR="00143542" w:rsidRDefault="00143542">
            <w:pPr>
              <w:ind w:left="23"/>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E.W37</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3027"/>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W13</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Times New Roman" w:eastAsia="Times New Roman" w:hAnsi="Times New Roman" w:cs="Times New Roman"/>
                <w:sz w:val="20"/>
                <w:szCs w:val="20"/>
              </w:rPr>
            </w:pPr>
            <w:r>
              <w:rPr>
                <w:rFonts w:ascii="Georgia" w:eastAsia="Georgia" w:hAnsi="Georgia" w:cs="Georgia"/>
              </w:rPr>
              <w:t>zasady zachowań prozdrowotnych, podstawy profilaktyki i wczesnej wykrywalności najczęstszych chorób cywilizacyjnych oraz zasady badań przesiewowych w tych chorobach;</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E.W38</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2843"/>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U1</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Times New Roman" w:eastAsia="Times New Roman" w:hAnsi="Times New Roman" w:cs="Times New Roman"/>
                <w:sz w:val="20"/>
                <w:szCs w:val="20"/>
              </w:rPr>
            </w:pPr>
            <w:r>
              <w:rPr>
                <w:rFonts w:ascii="Georgia" w:eastAsia="Georgia" w:hAnsi="Georgia" w:cs="Georgia"/>
              </w:rPr>
              <w:t>rozpoznawać stany wymagające leczenia w warunkach szpitalnych;</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E.U12</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3274"/>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U2</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wykonywać procedury i zabiegi medyczne, w tym:</w:t>
            </w:r>
          </w:p>
          <w:p w:rsidR="00143542" w:rsidRDefault="00F720DE">
            <w:pPr>
              <w:numPr>
                <w:ilvl w:val="1"/>
                <w:numId w:val="8"/>
              </w:numPr>
              <w:spacing w:line="276" w:lineRule="auto"/>
              <w:ind w:left="1080" w:firstLine="0"/>
              <w:rPr>
                <w:rFonts w:ascii="Georgia" w:eastAsia="Georgia" w:hAnsi="Georgia" w:cs="Georgia"/>
              </w:rPr>
            </w:pPr>
            <w:r>
              <w:rPr>
                <w:rFonts w:ascii="Georgia" w:eastAsia="Georgia" w:hAnsi="Georgia" w:cs="Georgia"/>
              </w:rPr>
              <w:t>badanie USG w stanach zagrożenia życia według protokołu FAST (</w:t>
            </w:r>
            <w:proofErr w:type="spellStart"/>
            <w:r>
              <w:rPr>
                <w:rFonts w:ascii="Georgia" w:eastAsia="Georgia" w:hAnsi="Georgia" w:cs="Georgia"/>
                <w:i/>
              </w:rPr>
              <w:t>Focussed</w:t>
            </w:r>
            <w:proofErr w:type="spellEnd"/>
            <w:r>
              <w:rPr>
                <w:rFonts w:ascii="Georgia" w:eastAsia="Georgia" w:hAnsi="Georgia" w:cs="Georgia"/>
                <w:i/>
              </w:rPr>
              <w:t xml:space="preserve"> </w:t>
            </w:r>
            <w:proofErr w:type="spellStart"/>
            <w:r>
              <w:rPr>
                <w:rFonts w:ascii="Georgia" w:eastAsia="Georgia" w:hAnsi="Georgia" w:cs="Georgia"/>
                <w:i/>
              </w:rPr>
              <w:t>Assessment</w:t>
            </w:r>
            <w:proofErr w:type="spellEnd"/>
            <w:r>
              <w:rPr>
                <w:rFonts w:ascii="Georgia" w:eastAsia="Georgia" w:hAnsi="Georgia" w:cs="Georgia"/>
                <w:i/>
              </w:rPr>
              <w:t xml:space="preserve"> with </w:t>
            </w:r>
            <w:proofErr w:type="spellStart"/>
            <w:r>
              <w:rPr>
                <w:rFonts w:ascii="Georgia" w:eastAsia="Georgia" w:hAnsi="Georgia" w:cs="Georgia"/>
                <w:i/>
              </w:rPr>
              <w:t>Sonography</w:t>
            </w:r>
            <w:proofErr w:type="spellEnd"/>
            <w:r>
              <w:rPr>
                <w:rFonts w:ascii="Georgia" w:eastAsia="Georgia" w:hAnsi="Georgia" w:cs="Georgia"/>
                <w:i/>
              </w:rPr>
              <w:t xml:space="preserve"> in Trauma</w:t>
            </w:r>
            <w:r>
              <w:rPr>
                <w:rFonts w:ascii="Georgia" w:eastAsia="Georgia" w:hAnsi="Georgia" w:cs="Georgia"/>
              </w:rPr>
              <w:t>) lub jego odpowiednika, i zinterpretować jego wynik;</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E.U14</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3546"/>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U3</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zastosować środki ochrony indywidualnej adekwatne do sytuacji klinicznej;</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E.U15</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3398"/>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U4</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pPr>
            <w:r>
              <w:rPr>
                <w:rFonts w:ascii="Georgia" w:eastAsia="Georgia" w:hAnsi="Georgia" w:cs="Georgia"/>
              </w:rPr>
              <w:t>prowadzić dokumentację medyczną pacjenta, w tym w postaci elektronicznej, zgodnie z przepisami prawa;</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E.U18</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4964"/>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U5</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Times New Roman" w:eastAsia="Times New Roman" w:hAnsi="Times New Roman" w:cs="Times New Roman"/>
                <w:sz w:val="20"/>
                <w:szCs w:val="20"/>
              </w:rPr>
            </w:pPr>
            <w:r>
              <w:rPr>
                <w:rFonts w:ascii="Georgia" w:eastAsia="Georgia" w:hAnsi="Georgia" w:cs="Georgia"/>
              </w:rPr>
              <w:t>udzielać świadczeń zdrowotnych z użyciem dostępnych systemów teleinformatycznych lub systemów łączności wykorzystywanych w ochronie zdrowia;</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E.U20</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573"/>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U6</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podejmować wspólnie z pacjentem decyzje diagnostyczno-terapeutyczne (oceniać stopień zaangażowania pacjenta, jego potrzeby i możliwości w tym zakresie, zachęcać pacjenta do brania aktywnego udziału w procesie podejmowania decyzji, omawiać zalety, wady, spodziewane rezultaty i konsekwencje wynikające z decyzji) i uzyskiwać świadomą zgodę pacjenta;</w:t>
            </w:r>
          </w:p>
          <w:p w:rsidR="00143542" w:rsidRDefault="00143542">
            <w:pPr>
              <w:ind w:left="23"/>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E.U26</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51"/>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U7</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Times New Roman" w:eastAsia="Times New Roman" w:hAnsi="Times New Roman" w:cs="Times New Roman"/>
                <w:sz w:val="20"/>
                <w:szCs w:val="20"/>
              </w:rPr>
            </w:pPr>
            <w:r>
              <w:rPr>
                <w:rFonts w:ascii="Georgia" w:eastAsia="Georgia" w:hAnsi="Georgia" w:cs="Georgia"/>
              </w:rPr>
              <w:t>komunikować się z pacjentami z grup zagrożonych wykluczeniem ekonomicznym lub społecznym, z poszanowaniem ich godności;</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E.U27</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800"/>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U8</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Times New Roman" w:eastAsia="Times New Roman" w:hAnsi="Times New Roman" w:cs="Times New Roman"/>
                <w:sz w:val="20"/>
                <w:szCs w:val="20"/>
              </w:rPr>
            </w:pPr>
            <w:r>
              <w:rPr>
                <w:rFonts w:ascii="Georgia" w:eastAsia="Georgia" w:hAnsi="Georgia" w:cs="Georgia"/>
              </w:rPr>
              <w:t>stosować zasady przekazywania informacji zwrotnej (konstruktywnej, nieoceniającej, opisowej) w ramach współpracy w zespole;</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E.U30</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280"/>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U9</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Times New Roman" w:eastAsia="Times New Roman" w:hAnsi="Times New Roman" w:cs="Times New Roman"/>
                <w:sz w:val="20"/>
                <w:szCs w:val="20"/>
              </w:rPr>
            </w:pPr>
            <w:r>
              <w:rPr>
                <w:rFonts w:ascii="Georgia" w:eastAsia="Georgia" w:hAnsi="Georgia" w:cs="Georgia"/>
              </w:rPr>
              <w:t>przyjąć, wyjaśnić i analizować własną rolę i zakres odpowiedzialności w zespole oraz rozpoznawać swoją rolę jako lekarza w zespole;</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E.U31</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51"/>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U10</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Times New Roman" w:eastAsia="Times New Roman" w:hAnsi="Times New Roman" w:cs="Times New Roman"/>
                <w:sz w:val="20"/>
                <w:szCs w:val="20"/>
              </w:rPr>
            </w:pPr>
            <w:r>
              <w:rPr>
                <w:rFonts w:ascii="Georgia" w:eastAsia="Georgia" w:hAnsi="Georgia" w:cs="Georgia"/>
              </w:rPr>
              <w:t>uzyskiwać informacje od członków zespołu z poszanowaniem ich zróżnicowanych opinii i specjalistycznych kompetencji oraz uwzględniać te informacje w planie diagnostyczno-terapeutycznym pacjenta;</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E.U32</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200"/>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U11</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Times New Roman" w:eastAsia="Times New Roman" w:hAnsi="Times New Roman" w:cs="Times New Roman"/>
                <w:color w:val="000000"/>
                <w:sz w:val="20"/>
                <w:szCs w:val="20"/>
              </w:rPr>
            </w:pPr>
            <w:r>
              <w:rPr>
                <w:rFonts w:ascii="Georgia" w:eastAsia="Georgia" w:hAnsi="Georgia" w:cs="Georgia"/>
              </w:rPr>
              <w:t>omawiać w zespole sytuację pacjenta z wyłączeniem subiektywnych ocen, z poszanowaniem godności pacjenta;</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E.U33</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r w:rsidR="00143542">
        <w:trPr>
          <w:trHeight w:val="1051"/>
        </w:trPr>
        <w:tc>
          <w:tcPr>
            <w:tcW w:w="1032" w:type="dxa"/>
            <w:tcBorders>
              <w:top w:val="single" w:sz="8" w:space="0" w:color="000000"/>
              <w:left w:val="single" w:sz="8" w:space="0" w:color="000000"/>
              <w:bottom w:val="single" w:sz="8" w:space="0" w:color="000000"/>
              <w:right w:val="single" w:sz="8" w:space="0" w:color="000000"/>
            </w:tcBorders>
          </w:tcPr>
          <w:p w:rsidR="00143542" w:rsidRDefault="00F720DE">
            <w:pPr>
              <w:spacing w:before="168"/>
              <w:ind w:left="3"/>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sz w:val="20"/>
                <w:szCs w:val="20"/>
              </w:rPr>
              <w:t>U12</w:t>
            </w:r>
          </w:p>
        </w:tc>
        <w:tc>
          <w:tcPr>
            <w:tcW w:w="3787" w:type="dxa"/>
            <w:tcBorders>
              <w:top w:val="single" w:sz="8" w:space="0" w:color="000000"/>
              <w:left w:val="single" w:sz="8" w:space="0" w:color="000000"/>
              <w:bottom w:val="single" w:sz="8" w:space="0" w:color="000000"/>
              <w:right w:val="single" w:sz="8" w:space="0" w:color="000000"/>
            </w:tcBorders>
          </w:tcPr>
          <w:p w:rsidR="00143542" w:rsidRDefault="00F720DE">
            <w:pPr>
              <w:spacing w:line="276" w:lineRule="auto"/>
              <w:rPr>
                <w:rFonts w:ascii="Georgia" w:eastAsia="Georgia" w:hAnsi="Georgia" w:cs="Georgia"/>
              </w:rPr>
            </w:pPr>
            <w:r>
              <w:rPr>
                <w:rFonts w:ascii="Georgia" w:eastAsia="Georgia" w:hAnsi="Georgia" w:cs="Georgia"/>
              </w:rPr>
              <w:t>stosować następujące protokoły (np. w trakcie przekazywania opieki nad pacjentem, zlecania konsultacji pacjenta lub jej udzielania):</w:t>
            </w:r>
          </w:p>
          <w:p w:rsidR="00143542" w:rsidRDefault="00F720DE">
            <w:pPr>
              <w:numPr>
                <w:ilvl w:val="1"/>
                <w:numId w:val="7"/>
              </w:numPr>
              <w:spacing w:line="276" w:lineRule="auto"/>
              <w:rPr>
                <w:rFonts w:ascii="Georgia" w:eastAsia="Georgia" w:hAnsi="Georgia" w:cs="Georgia"/>
              </w:rPr>
            </w:pPr>
            <w:r>
              <w:rPr>
                <w:rFonts w:ascii="Georgia" w:eastAsia="Georgia" w:hAnsi="Georgia" w:cs="Georgia"/>
              </w:rPr>
              <w:t>ATMIST (A (</w:t>
            </w:r>
            <w:r>
              <w:rPr>
                <w:rFonts w:ascii="Georgia" w:eastAsia="Georgia" w:hAnsi="Georgia" w:cs="Georgia"/>
                <w:i/>
              </w:rPr>
              <w:t xml:space="preserve">Age </w:t>
            </w:r>
            <w:r>
              <w:rPr>
                <w:rFonts w:ascii="Georgia" w:eastAsia="Georgia" w:hAnsi="Georgia" w:cs="Georgia"/>
              </w:rPr>
              <w:t>– wiek), T (</w:t>
            </w:r>
            <w:r>
              <w:rPr>
                <w:rFonts w:ascii="Georgia" w:eastAsia="Georgia" w:hAnsi="Georgia" w:cs="Georgia"/>
                <w:i/>
              </w:rPr>
              <w:t xml:space="preserve">Time of </w:t>
            </w:r>
            <w:proofErr w:type="spellStart"/>
            <w:r>
              <w:rPr>
                <w:rFonts w:ascii="Georgia" w:eastAsia="Georgia" w:hAnsi="Georgia" w:cs="Georgia"/>
                <w:i/>
              </w:rPr>
              <w:t>injury</w:t>
            </w:r>
            <w:proofErr w:type="spellEnd"/>
            <w:r>
              <w:rPr>
                <w:rFonts w:ascii="Georgia" w:eastAsia="Georgia" w:hAnsi="Georgia" w:cs="Georgia"/>
                <w:i/>
              </w:rPr>
              <w:t xml:space="preserve"> </w:t>
            </w:r>
            <w:r>
              <w:rPr>
                <w:rFonts w:ascii="Georgia" w:eastAsia="Georgia" w:hAnsi="Georgia" w:cs="Georgia"/>
              </w:rPr>
              <w:t xml:space="preserve">– czas powstania urazu),  </w:t>
            </w:r>
          </w:p>
          <w:p w:rsidR="00143542" w:rsidRDefault="00F720DE">
            <w:pPr>
              <w:spacing w:line="276" w:lineRule="auto"/>
              <w:ind w:left="720"/>
              <w:rPr>
                <w:rFonts w:ascii="Georgia" w:eastAsia="Georgia" w:hAnsi="Georgia" w:cs="Georgia"/>
              </w:rPr>
            </w:pPr>
            <w:r>
              <w:rPr>
                <w:rFonts w:ascii="Georgia" w:eastAsia="Georgia" w:hAnsi="Georgia" w:cs="Georgia"/>
              </w:rPr>
              <w:t>(</w:t>
            </w:r>
            <w:proofErr w:type="spellStart"/>
            <w:r>
              <w:rPr>
                <w:rFonts w:ascii="Georgia" w:eastAsia="Georgia" w:hAnsi="Georgia" w:cs="Georgia"/>
                <w:i/>
              </w:rPr>
              <w:t>Mechanism</w:t>
            </w:r>
            <w:proofErr w:type="spellEnd"/>
            <w:r>
              <w:rPr>
                <w:rFonts w:ascii="Georgia" w:eastAsia="Georgia" w:hAnsi="Georgia" w:cs="Georgia"/>
                <w:i/>
              </w:rPr>
              <w:t xml:space="preserve"> of </w:t>
            </w:r>
            <w:proofErr w:type="spellStart"/>
            <w:r>
              <w:rPr>
                <w:rFonts w:ascii="Georgia" w:eastAsia="Georgia" w:hAnsi="Georgia" w:cs="Georgia"/>
                <w:i/>
              </w:rPr>
              <w:t>injury</w:t>
            </w:r>
            <w:proofErr w:type="spellEnd"/>
            <w:r>
              <w:rPr>
                <w:rFonts w:ascii="Georgia" w:eastAsia="Georgia" w:hAnsi="Georgia" w:cs="Georgia"/>
                <w:i/>
              </w:rPr>
              <w:t xml:space="preserve"> </w:t>
            </w:r>
            <w:r>
              <w:rPr>
                <w:rFonts w:ascii="Georgia" w:eastAsia="Georgia" w:hAnsi="Georgia" w:cs="Georgia"/>
              </w:rPr>
              <w:t>– mechanizm urazu), I (</w:t>
            </w:r>
            <w:proofErr w:type="spellStart"/>
            <w:r>
              <w:rPr>
                <w:rFonts w:ascii="Georgia" w:eastAsia="Georgia" w:hAnsi="Georgia" w:cs="Georgia"/>
                <w:i/>
              </w:rPr>
              <w:t>Injury</w:t>
            </w:r>
            <w:proofErr w:type="spellEnd"/>
            <w:r>
              <w:rPr>
                <w:rFonts w:ascii="Georgia" w:eastAsia="Georgia" w:hAnsi="Georgia" w:cs="Georgia"/>
                <w:i/>
              </w:rPr>
              <w:t xml:space="preserve"> </w:t>
            </w:r>
            <w:proofErr w:type="spellStart"/>
            <w:r>
              <w:rPr>
                <w:rFonts w:ascii="Georgia" w:eastAsia="Georgia" w:hAnsi="Georgia" w:cs="Georgia"/>
                <w:i/>
              </w:rPr>
              <w:t>suspected</w:t>
            </w:r>
            <w:proofErr w:type="spellEnd"/>
            <w:r>
              <w:rPr>
                <w:rFonts w:ascii="Georgia" w:eastAsia="Georgia" w:hAnsi="Georgia" w:cs="Georgia"/>
                <w:i/>
              </w:rPr>
              <w:t xml:space="preserve"> </w:t>
            </w:r>
            <w:r>
              <w:rPr>
                <w:rFonts w:ascii="Georgia" w:eastAsia="Georgia" w:hAnsi="Georgia" w:cs="Georgia"/>
              </w:rPr>
              <w:t>– podejrzewane skutki urazu), S (</w:t>
            </w:r>
            <w:proofErr w:type="spellStart"/>
            <w:r>
              <w:rPr>
                <w:rFonts w:ascii="Georgia" w:eastAsia="Georgia" w:hAnsi="Georgia" w:cs="Georgia"/>
                <w:i/>
              </w:rPr>
              <w:t>Symptoms</w:t>
            </w:r>
            <w:proofErr w:type="spellEnd"/>
            <w:r>
              <w:rPr>
                <w:rFonts w:ascii="Georgia" w:eastAsia="Georgia" w:hAnsi="Georgia" w:cs="Georgia"/>
                <w:i/>
              </w:rPr>
              <w:t>/</w:t>
            </w:r>
            <w:proofErr w:type="spellStart"/>
            <w:r>
              <w:rPr>
                <w:rFonts w:ascii="Georgia" w:eastAsia="Georgia" w:hAnsi="Georgia" w:cs="Georgia"/>
                <w:i/>
              </w:rPr>
              <w:t>Signs</w:t>
            </w:r>
            <w:proofErr w:type="spellEnd"/>
            <w:r>
              <w:rPr>
                <w:rFonts w:ascii="Georgia" w:eastAsia="Georgia" w:hAnsi="Georgia" w:cs="Georgia"/>
                <w:i/>
              </w:rPr>
              <w:t xml:space="preserve"> </w:t>
            </w:r>
            <w:r>
              <w:rPr>
                <w:rFonts w:ascii="Georgia" w:eastAsia="Georgia" w:hAnsi="Georgia" w:cs="Georgia"/>
              </w:rPr>
              <w:t>– objawy), T (</w:t>
            </w:r>
            <w:proofErr w:type="spellStart"/>
            <w:r>
              <w:rPr>
                <w:rFonts w:ascii="Georgia" w:eastAsia="Georgia" w:hAnsi="Georgia" w:cs="Georgia"/>
                <w:i/>
              </w:rPr>
              <w:t>Treatment</w:t>
            </w:r>
            <w:proofErr w:type="spellEnd"/>
            <w:r>
              <w:rPr>
                <w:rFonts w:ascii="Georgia" w:eastAsia="Georgia" w:hAnsi="Georgia" w:cs="Georgia"/>
                <w:i/>
              </w:rPr>
              <w:t xml:space="preserve">/Time </w:t>
            </w:r>
            <w:r>
              <w:rPr>
                <w:rFonts w:ascii="Georgia" w:eastAsia="Georgia" w:hAnsi="Georgia" w:cs="Georgia"/>
              </w:rPr>
              <w:t>– leczenie i czas dotarcia));</w:t>
            </w:r>
          </w:p>
          <w:p w:rsidR="00143542" w:rsidRDefault="00F720DE">
            <w:pPr>
              <w:spacing w:line="276" w:lineRule="auto"/>
              <w:ind w:left="720"/>
              <w:rPr>
                <w:rFonts w:ascii="Georgia" w:eastAsia="Georgia" w:hAnsi="Georgia" w:cs="Georgia"/>
              </w:rPr>
            </w:pPr>
            <w:r>
              <w:rPr>
                <w:rFonts w:ascii="Georgia" w:eastAsia="Georgia" w:hAnsi="Georgia" w:cs="Georgia"/>
              </w:rPr>
              <w:t>2) RSVP/ISBAR (R (</w:t>
            </w:r>
            <w:proofErr w:type="spellStart"/>
            <w:r>
              <w:rPr>
                <w:rFonts w:ascii="Georgia" w:eastAsia="Georgia" w:hAnsi="Georgia" w:cs="Georgia"/>
                <w:i/>
              </w:rPr>
              <w:t>Reason</w:t>
            </w:r>
            <w:proofErr w:type="spellEnd"/>
            <w:r>
              <w:rPr>
                <w:rFonts w:ascii="Georgia" w:eastAsia="Georgia" w:hAnsi="Georgia" w:cs="Georgia"/>
                <w:i/>
              </w:rPr>
              <w:t xml:space="preserve"> </w:t>
            </w:r>
            <w:r>
              <w:rPr>
                <w:rFonts w:ascii="Georgia" w:eastAsia="Georgia" w:hAnsi="Georgia" w:cs="Georgia"/>
              </w:rPr>
              <w:t>– przyczyna, dlaczego), S (</w:t>
            </w:r>
            <w:r>
              <w:rPr>
                <w:rFonts w:ascii="Georgia" w:eastAsia="Georgia" w:hAnsi="Georgia" w:cs="Georgia"/>
                <w:i/>
              </w:rPr>
              <w:t xml:space="preserve">Story </w:t>
            </w:r>
            <w:r>
              <w:rPr>
                <w:rFonts w:ascii="Georgia" w:eastAsia="Georgia" w:hAnsi="Georgia" w:cs="Georgia"/>
              </w:rPr>
              <w:t>– historia pacjenta),</w:t>
            </w:r>
          </w:p>
          <w:p w:rsidR="00143542" w:rsidRDefault="00F720DE">
            <w:pPr>
              <w:spacing w:line="276" w:lineRule="auto"/>
              <w:ind w:left="720"/>
              <w:rPr>
                <w:rFonts w:ascii="Georgia" w:eastAsia="Georgia" w:hAnsi="Georgia" w:cs="Georgia"/>
              </w:rPr>
            </w:pPr>
            <w:r>
              <w:rPr>
                <w:rFonts w:ascii="Georgia" w:eastAsia="Georgia" w:hAnsi="Georgia" w:cs="Georgia"/>
              </w:rPr>
              <w:t>V (</w:t>
            </w:r>
            <w:proofErr w:type="spellStart"/>
            <w:r>
              <w:rPr>
                <w:rFonts w:ascii="Georgia" w:eastAsia="Georgia" w:hAnsi="Georgia" w:cs="Georgia"/>
                <w:i/>
              </w:rPr>
              <w:t>Vital</w:t>
            </w:r>
            <w:proofErr w:type="spellEnd"/>
            <w:r>
              <w:rPr>
                <w:rFonts w:ascii="Georgia" w:eastAsia="Georgia" w:hAnsi="Georgia" w:cs="Georgia"/>
                <w:i/>
              </w:rPr>
              <w:t xml:space="preserve"> </w:t>
            </w:r>
            <w:proofErr w:type="spellStart"/>
            <w:r>
              <w:rPr>
                <w:rFonts w:ascii="Georgia" w:eastAsia="Georgia" w:hAnsi="Georgia" w:cs="Georgia"/>
                <w:i/>
              </w:rPr>
              <w:t>signs</w:t>
            </w:r>
            <w:proofErr w:type="spellEnd"/>
            <w:r>
              <w:rPr>
                <w:rFonts w:ascii="Georgia" w:eastAsia="Georgia" w:hAnsi="Georgia" w:cs="Georgia"/>
                <w:i/>
              </w:rPr>
              <w:t xml:space="preserve"> </w:t>
            </w:r>
            <w:r>
              <w:rPr>
                <w:rFonts w:ascii="Georgia" w:eastAsia="Georgia" w:hAnsi="Georgia" w:cs="Georgia"/>
              </w:rPr>
              <w:t>– parametry życiowe), P (</w:t>
            </w:r>
            <w:r>
              <w:rPr>
                <w:rFonts w:ascii="Georgia" w:eastAsia="Georgia" w:hAnsi="Georgia" w:cs="Georgia"/>
                <w:i/>
              </w:rPr>
              <w:t xml:space="preserve">Plan </w:t>
            </w:r>
            <w:r>
              <w:rPr>
                <w:rFonts w:ascii="Georgia" w:eastAsia="Georgia" w:hAnsi="Georgia" w:cs="Georgia"/>
              </w:rPr>
              <w:t>– plan dla pacjenta)/I (</w:t>
            </w:r>
            <w:proofErr w:type="spellStart"/>
            <w:r>
              <w:rPr>
                <w:rFonts w:ascii="Georgia" w:eastAsia="Georgia" w:hAnsi="Georgia" w:cs="Georgia"/>
                <w:i/>
              </w:rPr>
              <w:t>Introduction</w:t>
            </w:r>
            <w:proofErr w:type="spellEnd"/>
            <w:r>
              <w:rPr>
                <w:rFonts w:ascii="Georgia" w:eastAsia="Georgia" w:hAnsi="Georgia" w:cs="Georgia"/>
                <w:i/>
              </w:rPr>
              <w:t xml:space="preserve"> </w:t>
            </w:r>
            <w:r>
              <w:rPr>
                <w:rFonts w:ascii="Georgia" w:eastAsia="Georgia" w:hAnsi="Georgia" w:cs="Georgia"/>
              </w:rPr>
              <w:t>–</w:t>
            </w:r>
          </w:p>
          <w:p w:rsidR="00143542" w:rsidRDefault="00F720DE">
            <w:pPr>
              <w:spacing w:line="276" w:lineRule="auto"/>
              <w:ind w:left="720"/>
              <w:rPr>
                <w:rFonts w:ascii="Times New Roman" w:eastAsia="Times New Roman" w:hAnsi="Times New Roman" w:cs="Times New Roman"/>
                <w:sz w:val="20"/>
                <w:szCs w:val="20"/>
              </w:rPr>
            </w:pPr>
            <w:r>
              <w:rPr>
                <w:rFonts w:ascii="Georgia" w:eastAsia="Georgia" w:hAnsi="Georgia" w:cs="Georgia"/>
              </w:rPr>
              <w:t>wprowadzenie), S (</w:t>
            </w:r>
            <w:proofErr w:type="spellStart"/>
            <w:r>
              <w:rPr>
                <w:rFonts w:ascii="Georgia" w:eastAsia="Georgia" w:hAnsi="Georgia" w:cs="Georgia"/>
                <w:i/>
              </w:rPr>
              <w:t>Situation</w:t>
            </w:r>
            <w:proofErr w:type="spellEnd"/>
            <w:r>
              <w:rPr>
                <w:rFonts w:ascii="Georgia" w:eastAsia="Georgia" w:hAnsi="Georgia" w:cs="Georgia"/>
                <w:i/>
              </w:rPr>
              <w:t xml:space="preserve"> </w:t>
            </w:r>
            <w:r>
              <w:rPr>
                <w:rFonts w:ascii="Georgia" w:eastAsia="Georgia" w:hAnsi="Georgia" w:cs="Georgia"/>
              </w:rPr>
              <w:t>– sytuacja), B (</w:t>
            </w:r>
            <w:proofErr w:type="spellStart"/>
            <w:r>
              <w:rPr>
                <w:rFonts w:ascii="Georgia" w:eastAsia="Georgia" w:hAnsi="Georgia" w:cs="Georgia"/>
                <w:i/>
              </w:rPr>
              <w:t>Background</w:t>
            </w:r>
            <w:proofErr w:type="spellEnd"/>
            <w:r>
              <w:rPr>
                <w:rFonts w:ascii="Georgia" w:eastAsia="Georgia" w:hAnsi="Georgia" w:cs="Georgia"/>
                <w:i/>
              </w:rPr>
              <w:t xml:space="preserve"> </w:t>
            </w:r>
            <w:r>
              <w:rPr>
                <w:rFonts w:ascii="Georgia" w:eastAsia="Georgia" w:hAnsi="Georgia" w:cs="Georgia"/>
              </w:rPr>
              <w:t>– tło), A (</w:t>
            </w:r>
            <w:proofErr w:type="spellStart"/>
            <w:r>
              <w:rPr>
                <w:rFonts w:ascii="Georgia" w:eastAsia="Georgia" w:hAnsi="Georgia" w:cs="Georgia"/>
                <w:i/>
              </w:rPr>
              <w:t>Assessment</w:t>
            </w:r>
            <w:proofErr w:type="spellEnd"/>
            <w:r>
              <w:rPr>
                <w:rFonts w:ascii="Georgia" w:eastAsia="Georgia" w:hAnsi="Georgia" w:cs="Georgia"/>
                <w:i/>
              </w:rPr>
              <w:t xml:space="preserve"> </w:t>
            </w:r>
            <w:r>
              <w:rPr>
                <w:rFonts w:ascii="Georgia" w:eastAsia="Georgia" w:hAnsi="Georgia" w:cs="Georgia"/>
              </w:rPr>
              <w:t>–</w:t>
            </w:r>
            <w:r>
              <w:rPr>
                <w:rFonts w:ascii="Georgia" w:eastAsia="Georgia" w:hAnsi="Georgia" w:cs="Georgia"/>
                <w:color w:val="1A1A1A"/>
              </w:rPr>
              <w:t>ocena), R (</w:t>
            </w:r>
            <w:proofErr w:type="spellStart"/>
            <w:r>
              <w:rPr>
                <w:rFonts w:ascii="Georgia" w:eastAsia="Georgia" w:hAnsi="Georgia" w:cs="Georgia"/>
                <w:i/>
                <w:color w:val="1A1A1A"/>
              </w:rPr>
              <w:t>Recommendation</w:t>
            </w:r>
            <w:proofErr w:type="spellEnd"/>
            <w:r>
              <w:rPr>
                <w:rFonts w:ascii="Georgia" w:eastAsia="Georgia" w:hAnsi="Georgia" w:cs="Georgia"/>
                <w:i/>
                <w:color w:val="1A1A1A"/>
              </w:rPr>
              <w:t xml:space="preserve"> </w:t>
            </w:r>
            <w:r>
              <w:rPr>
                <w:rFonts w:ascii="Georgia" w:eastAsia="Georgia" w:hAnsi="Georgia" w:cs="Georgia"/>
                <w:color w:val="1A1A1A"/>
              </w:rPr>
              <w:t>– rekomendacja)).</w:t>
            </w:r>
          </w:p>
        </w:tc>
        <w:tc>
          <w:tcPr>
            <w:tcW w:w="1276" w:type="dxa"/>
            <w:tcBorders>
              <w:top w:val="single" w:sz="8" w:space="0" w:color="000000"/>
              <w:left w:val="single" w:sz="8" w:space="0" w:color="000000"/>
              <w:bottom w:val="single" w:sz="8" w:space="0" w:color="000000"/>
              <w:right w:val="single" w:sz="8" w:space="0" w:color="000000"/>
            </w:tcBorders>
            <w:vAlign w:val="center"/>
          </w:tcPr>
          <w:p w:rsidR="00143542" w:rsidRDefault="00F720DE">
            <w:pPr>
              <w:spacing w:line="276" w:lineRule="auto"/>
              <w:rPr>
                <w:rFonts w:ascii="Georgia" w:eastAsia="Georgia" w:hAnsi="Georgia" w:cs="Georgia"/>
              </w:rPr>
            </w:pPr>
            <w:r>
              <w:rPr>
                <w:rFonts w:ascii="Georgia" w:eastAsia="Georgia" w:hAnsi="Georgia" w:cs="Georgia"/>
              </w:rPr>
              <w:t>E.U34</w:t>
            </w:r>
          </w:p>
          <w:p w:rsidR="00143542" w:rsidRDefault="00F720DE">
            <w:pPr>
              <w:spacing w:line="276" w:lineRule="auto"/>
              <w:rPr>
                <w:rFonts w:ascii="Georgia" w:eastAsia="Georgia" w:hAnsi="Georgia" w:cs="Georgia"/>
              </w:rPr>
            </w:pPr>
            <w:r>
              <w:rPr>
                <w:rFonts w:ascii="Georgia" w:eastAsia="Georgia" w:hAnsi="Georgia" w:cs="Georgia"/>
              </w:rPr>
              <w:t>+++</w:t>
            </w:r>
          </w:p>
          <w:p w:rsidR="00143542" w:rsidRDefault="00143542">
            <w:pPr>
              <w:spacing w:line="276" w:lineRule="auto"/>
              <w:rPr>
                <w:rFonts w:ascii="Georgia" w:eastAsia="Georgia" w:hAnsi="Georgia" w:cs="Georgia"/>
              </w:rPr>
            </w:pPr>
          </w:p>
        </w:tc>
        <w:tc>
          <w:tcPr>
            <w:tcW w:w="1418" w:type="dxa"/>
            <w:tcBorders>
              <w:top w:val="single" w:sz="8" w:space="0" w:color="000000"/>
              <w:left w:val="single" w:sz="8" w:space="0" w:color="000000"/>
              <w:bottom w:val="single" w:sz="8" w:space="0" w:color="000000"/>
              <w:right w:val="single" w:sz="6" w:space="0" w:color="000000"/>
            </w:tcBorders>
            <w:vAlign w:val="center"/>
          </w:tcPr>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Ćwiczenia</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kliniczne</w:t>
            </w:r>
          </w:p>
          <w:p w:rsidR="00143542" w:rsidRDefault="00F720DE">
            <w:pPr>
              <w:ind w:left="349" w:right="106" w:hanging="63"/>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Seminarium</w:t>
            </w:r>
          </w:p>
        </w:tc>
        <w:tc>
          <w:tcPr>
            <w:tcW w:w="1558" w:type="dxa"/>
            <w:tcBorders>
              <w:top w:val="single" w:sz="8" w:space="0" w:color="000000"/>
              <w:left w:val="single" w:sz="6" w:space="0" w:color="000000"/>
              <w:bottom w:val="single" w:sz="8" w:space="0" w:color="000000"/>
              <w:right w:val="single" w:sz="8" w:space="0" w:color="000000"/>
            </w:tcBorders>
            <w:vAlign w:val="center"/>
          </w:tcPr>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Zaliczenie na</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ocenę</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Egzamin</w:t>
            </w:r>
          </w:p>
          <w:p w:rsidR="00143542" w:rsidRDefault="00F720DE">
            <w:pPr>
              <w:spacing w:before="47"/>
              <w:ind w:left="234"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pisemny</w:t>
            </w:r>
          </w:p>
        </w:tc>
        <w:tc>
          <w:tcPr>
            <w:tcW w:w="1702" w:type="dxa"/>
            <w:tcBorders>
              <w:top w:val="single" w:sz="6" w:space="0" w:color="000000"/>
              <w:left w:val="single" w:sz="8" w:space="0" w:color="000000"/>
              <w:bottom w:val="single" w:sz="6" w:space="0" w:color="000000"/>
              <w:right w:val="single" w:sz="6" w:space="0" w:color="000000"/>
            </w:tcBorders>
            <w:vAlign w:val="center"/>
          </w:tcPr>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Test, odpowiedź</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ustna, dyskusja,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prezentacja,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projekt, analiza</w:t>
            </w:r>
          </w:p>
          <w:p w:rsidR="00143542" w:rsidRDefault="00F720DE">
            <w:pPr>
              <w:spacing w:before="50"/>
              <w:ind w:left="23" w:right="1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przypadku</w:t>
            </w:r>
          </w:p>
        </w:tc>
      </w:tr>
    </w:tbl>
    <w:p w:rsidR="00143542" w:rsidRDefault="00143542">
      <w:pPr>
        <w:sectPr w:rsidR="00143542">
          <w:pgSz w:w="11906" w:h="16838"/>
          <w:pgMar w:top="480" w:right="460" w:bottom="280" w:left="460" w:header="0" w:footer="0" w:gutter="0"/>
          <w:cols w:space="708"/>
          <w:formProt w:val="0"/>
          <w:docGrid w:linePitch="100" w:charSpace="4096"/>
        </w:sectPr>
      </w:pPr>
    </w:p>
    <w:p w:rsidR="00143542" w:rsidRDefault="00143542">
      <w:pPr>
        <w:spacing w:before="4"/>
        <w:rPr>
          <w:rFonts w:ascii="Times New Roman" w:eastAsia="Times New Roman" w:hAnsi="Times New Roman" w:cs="Times New Roman"/>
          <w:sz w:val="6"/>
          <w:szCs w:val="6"/>
        </w:rPr>
      </w:pPr>
    </w:p>
    <w:p w:rsidR="00143542" w:rsidRDefault="00F720DE">
      <w:pPr>
        <w:ind w:left="108"/>
        <w:rPr>
          <w:rFonts w:ascii="Times New Roman" w:eastAsia="Times New Roman" w:hAnsi="Times New Roman" w:cs="Times New Roman"/>
          <w:sz w:val="20"/>
          <w:szCs w:val="20"/>
        </w:rPr>
      </w:pPr>
      <w:r>
        <w:rPr>
          <w:noProof/>
        </w:rPr>
        <mc:AlternateContent>
          <mc:Choice Requires="wpg">
            <w:drawing>
              <wp:inline distT="0" distB="0" distL="0" distR="0" wp14:anchorId="7BE7213E">
                <wp:extent cx="6859270" cy="2540635"/>
                <wp:effectExtent l="0" t="0" r="0" b="0"/>
                <wp:docPr id="14" name="Grupa 14"/>
                <wp:cNvGraphicFramePr/>
                <a:graphic xmlns:a="http://schemas.openxmlformats.org/drawingml/2006/main">
                  <a:graphicData uri="http://schemas.microsoft.com/office/word/2010/wordprocessingGroup">
                    <wpg:wgp>
                      <wpg:cNvGrpSpPr/>
                      <wpg:grpSpPr>
                        <a:xfrm>
                          <a:off x="0" y="0"/>
                          <a:ext cx="6859440" cy="2540520"/>
                          <a:chOff x="0" y="0"/>
                          <a:chExt cx="6859440" cy="2540520"/>
                        </a:xfrm>
                      </wpg:grpSpPr>
                      <wpg:grpSp>
                        <wpg:cNvPr id="15" name="Grupa 15"/>
                        <wpg:cNvGrpSpPr/>
                        <wpg:grpSpPr>
                          <a:xfrm>
                            <a:off x="0" y="0"/>
                            <a:ext cx="6859440" cy="2540520"/>
                            <a:chOff x="0" y="0"/>
                            <a:chExt cx="0" cy="0"/>
                          </a:xfrm>
                        </wpg:grpSpPr>
                        <wps:wsp>
                          <wps:cNvPr id="16" name="Prostokąt 16"/>
                          <wps:cNvSpPr/>
                          <wps:spPr>
                            <a:xfrm>
                              <a:off x="0" y="0"/>
                              <a:ext cx="6859440" cy="2540520"/>
                            </a:xfrm>
                            <a:prstGeom prst="rect">
                              <a:avLst/>
                            </a:prstGeom>
                            <a:noFill/>
                            <a:ln w="0">
                              <a:noFill/>
                            </a:ln>
                          </wps:spPr>
                          <wps:style>
                            <a:lnRef idx="0">
                              <a:scrgbClr r="0" g="0" b="0"/>
                            </a:lnRef>
                            <a:fillRef idx="0">
                              <a:scrgbClr r="0" g="0" b="0"/>
                            </a:fillRef>
                            <a:effectRef idx="0">
                              <a:scrgbClr r="0" g="0" b="0"/>
                            </a:effectRef>
                            <a:fontRef idx="minor"/>
                          </wps:style>
                          <wps:txbx>
                            <w:txbxContent>
                              <w:p w:rsidR="00143542" w:rsidRDefault="00143542"/>
                            </w:txbxContent>
                          </wps:txbx>
                          <wps:bodyPr tIns="91440" bIns="91440" anchor="ctr">
                            <a:noAutofit/>
                          </wps:bodyPr>
                        </wps:wsp>
                        <wpg:grpSp>
                          <wpg:cNvPr id="17" name="Grupa 17"/>
                          <wpg:cNvGrpSpPr/>
                          <wpg:grpSpPr>
                            <a:xfrm>
                              <a:off x="0" y="0"/>
                              <a:ext cx="6859440" cy="2281680"/>
                              <a:chOff x="0" y="0"/>
                              <a:chExt cx="0" cy="0"/>
                            </a:xfrm>
                          </wpg:grpSpPr>
                          <wps:wsp>
                            <wps:cNvPr id="18" name="Prostokąt 18"/>
                            <wps:cNvSpPr/>
                            <wps:spPr>
                              <a:xfrm>
                                <a:off x="0" y="0"/>
                                <a:ext cx="6859440" cy="2281680"/>
                              </a:xfrm>
                              <a:prstGeom prst="rect">
                                <a:avLst/>
                              </a:prstGeom>
                              <a:noFill/>
                              <a:ln w="0">
                                <a:noFill/>
                              </a:ln>
                            </wps:spPr>
                            <wps:style>
                              <a:lnRef idx="0">
                                <a:scrgbClr r="0" g="0" b="0"/>
                              </a:lnRef>
                              <a:fillRef idx="0">
                                <a:scrgbClr r="0" g="0" b="0"/>
                              </a:fillRef>
                              <a:effectRef idx="0">
                                <a:scrgbClr r="0" g="0" b="0"/>
                              </a:effectRef>
                              <a:fontRef idx="minor"/>
                            </wps:style>
                            <wps:txbx>
                              <w:txbxContent>
                                <w:p w:rsidR="00143542" w:rsidRDefault="00143542"/>
                              </w:txbxContent>
                            </wps:txbx>
                            <wps:bodyPr tIns="91440" bIns="91440" anchor="ctr">
                              <a:noAutofit/>
                            </wps:bodyPr>
                          </wps:wsp>
                          <wps:wsp>
                            <wps:cNvPr id="19" name="Dowolny kształt 19"/>
                            <wps:cNvSpPr/>
                            <wps:spPr>
                              <a:xfrm>
                                <a:off x="5040" y="13320"/>
                                <a:ext cx="6849000" cy="720"/>
                              </a:xfrm>
                              <a:custGeom>
                                <a:avLst/>
                                <a:gdLst>
                                  <a:gd name="textAreaLeft" fmla="*/ 0 w 3882960"/>
                                  <a:gd name="textAreaRight" fmla="*/ 3883320 w 3882960"/>
                                  <a:gd name="textAreaTop" fmla="*/ 0 h 360"/>
                                  <a:gd name="textAreaBottom" fmla="*/ 720 h 360"/>
                                </a:gdLst>
                                <a:ahLst/>
                                <a:cxnLst/>
                                <a:rect l="textAreaLeft" t="textAreaTop" r="textAreaRight" b="textAreaBottom"/>
                                <a:pathLst>
                                  <a:path w="6849110" h="1270">
                                    <a:moveTo>
                                      <a:pt x="0" y="0"/>
                                    </a:moveTo>
                                    <a:lnTo>
                                      <a:pt x="6849110" y="0"/>
                                    </a:lnTo>
                                  </a:path>
                                </a:pathLst>
                              </a:custGeom>
                              <a:noFill/>
                              <a:ln w="10080">
                                <a:solidFill>
                                  <a:srgbClr val="000000"/>
                                </a:solidFill>
                                <a:round/>
                              </a:ln>
                            </wps:spPr>
                            <wps:style>
                              <a:lnRef idx="0">
                                <a:scrgbClr r="0" g="0" b="0"/>
                              </a:lnRef>
                              <a:fillRef idx="0">
                                <a:scrgbClr r="0" g="0" b="0"/>
                              </a:fillRef>
                              <a:effectRef idx="0">
                                <a:scrgbClr r="0" g="0" b="0"/>
                              </a:effectRef>
                              <a:fontRef idx="minor"/>
                            </wps:style>
                            <wps:bodyPr/>
                          </wps:wsp>
                          <wps:wsp>
                            <wps:cNvPr id="20" name="Dowolny kształt 20"/>
                            <wps:cNvSpPr/>
                            <wps:spPr>
                              <a:xfrm>
                                <a:off x="14760" y="275760"/>
                                <a:ext cx="6833880" cy="720"/>
                              </a:xfrm>
                              <a:custGeom>
                                <a:avLst/>
                                <a:gdLst>
                                  <a:gd name="textAreaLeft" fmla="*/ 0 w 3874320"/>
                                  <a:gd name="textAreaRight" fmla="*/ 3874680 w 3874320"/>
                                  <a:gd name="textAreaTop" fmla="*/ 0 h 360"/>
                                  <a:gd name="textAreaBottom" fmla="*/ 720 h 360"/>
                                </a:gdLst>
                                <a:ahLst/>
                                <a:cxnLst/>
                                <a:rect l="textAreaLeft" t="textAreaTop" r="textAreaRight" b="textAreaBottom"/>
                                <a:pathLst>
                                  <a:path w="6833870" h="1270">
                                    <a:moveTo>
                                      <a:pt x="0" y="0"/>
                                    </a:moveTo>
                                    <a:lnTo>
                                      <a:pt x="6833235" y="0"/>
                                    </a:lnTo>
                                  </a:path>
                                </a:pathLst>
                              </a:custGeom>
                              <a:noFill/>
                              <a:ln w="10080">
                                <a:solidFill>
                                  <a:srgbClr val="000000"/>
                                </a:solidFill>
                                <a:round/>
                              </a:ln>
                            </wps:spPr>
                            <wps:style>
                              <a:lnRef idx="0">
                                <a:scrgbClr r="0" g="0" b="0"/>
                              </a:lnRef>
                              <a:fillRef idx="0">
                                <a:scrgbClr r="0" g="0" b="0"/>
                              </a:fillRef>
                              <a:effectRef idx="0">
                                <a:scrgbClr r="0" g="0" b="0"/>
                              </a:effectRef>
                              <a:fontRef idx="minor"/>
                            </wps:style>
                            <wps:bodyPr/>
                          </wps:wsp>
                          <wps:wsp>
                            <wps:cNvPr id="21" name="Dowolny kształt 21"/>
                            <wps:cNvSpPr/>
                            <wps:spPr>
                              <a:xfrm>
                                <a:off x="9360" y="4320"/>
                                <a:ext cx="720" cy="2268360"/>
                              </a:xfrm>
                              <a:custGeom>
                                <a:avLst/>
                                <a:gdLst>
                                  <a:gd name="textAreaLeft" fmla="*/ 0 w 360"/>
                                  <a:gd name="textAreaRight" fmla="*/ 720 w 360"/>
                                  <a:gd name="textAreaTop" fmla="*/ 0 h 1285920"/>
                                  <a:gd name="textAreaBottom" fmla="*/ 1286280 h 1285920"/>
                                </a:gdLst>
                                <a:ahLst/>
                                <a:cxnLst/>
                                <a:rect l="textAreaLeft" t="textAreaTop" r="textAreaRight" b="textAreaBottom"/>
                                <a:pathLst>
                                  <a:path w="1270" h="2525395">
                                    <a:moveTo>
                                      <a:pt x="0" y="0"/>
                                    </a:moveTo>
                                    <a:lnTo>
                                      <a:pt x="0" y="2525395"/>
                                    </a:lnTo>
                                  </a:path>
                                </a:pathLst>
                              </a:custGeom>
                              <a:noFill/>
                              <a:ln w="10080">
                                <a:solidFill>
                                  <a:srgbClr val="000000"/>
                                </a:solidFill>
                                <a:round/>
                              </a:ln>
                            </wps:spPr>
                            <wps:style>
                              <a:lnRef idx="0">
                                <a:scrgbClr r="0" g="0" b="0"/>
                              </a:lnRef>
                              <a:fillRef idx="0">
                                <a:scrgbClr r="0" g="0" b="0"/>
                              </a:fillRef>
                              <a:effectRef idx="0">
                                <a:scrgbClr r="0" g="0" b="0"/>
                              </a:effectRef>
                              <a:fontRef idx="minor"/>
                            </wps:style>
                            <wps:bodyPr/>
                          </wps:wsp>
                          <wps:wsp>
                            <wps:cNvPr id="22" name="Dowolny kształt 22"/>
                            <wps:cNvSpPr/>
                            <wps:spPr>
                              <a:xfrm>
                                <a:off x="5040" y="2277000"/>
                                <a:ext cx="6849000" cy="720"/>
                              </a:xfrm>
                              <a:custGeom>
                                <a:avLst/>
                                <a:gdLst>
                                  <a:gd name="textAreaLeft" fmla="*/ 0 w 3882960"/>
                                  <a:gd name="textAreaRight" fmla="*/ 3883320 w 3882960"/>
                                  <a:gd name="textAreaTop" fmla="*/ 0 h 360"/>
                                  <a:gd name="textAreaBottom" fmla="*/ 720 h 360"/>
                                </a:gdLst>
                                <a:ahLst/>
                                <a:cxnLst/>
                                <a:rect l="textAreaLeft" t="textAreaTop" r="textAreaRight" b="textAreaBottom"/>
                                <a:pathLst>
                                  <a:path w="6849110" h="1270">
                                    <a:moveTo>
                                      <a:pt x="0" y="0"/>
                                    </a:moveTo>
                                    <a:lnTo>
                                      <a:pt x="6849110" y="0"/>
                                    </a:lnTo>
                                  </a:path>
                                </a:pathLst>
                              </a:custGeom>
                              <a:noFill/>
                              <a:ln w="10080">
                                <a:solidFill>
                                  <a:srgbClr val="000000"/>
                                </a:solidFill>
                                <a:round/>
                              </a:ln>
                            </wps:spPr>
                            <wps:style>
                              <a:lnRef idx="0">
                                <a:scrgbClr r="0" g="0" b="0"/>
                              </a:lnRef>
                              <a:fillRef idx="0">
                                <a:scrgbClr r="0" g="0" b="0"/>
                              </a:fillRef>
                              <a:effectRef idx="0">
                                <a:scrgbClr r="0" g="0" b="0"/>
                              </a:effectRef>
                              <a:fontRef idx="minor"/>
                            </wps:style>
                            <wps:bodyPr/>
                          </wps:wsp>
                          <wpg:grpSp>
                            <wpg:cNvPr id="23" name="Grupa 23"/>
                            <wpg:cNvGrpSpPr/>
                            <wpg:grpSpPr>
                              <a:xfrm>
                                <a:off x="9360" y="13320"/>
                                <a:ext cx="6842880" cy="2263320"/>
                                <a:chOff x="0" y="0"/>
                                <a:chExt cx="0" cy="0"/>
                              </a:xfrm>
                            </wpg:grpSpPr>
                            <wps:wsp>
                              <wps:cNvPr id="24" name="Dowolny kształt 24"/>
                              <wps:cNvSpPr/>
                              <wps:spPr>
                                <a:xfrm>
                                  <a:off x="6842160" y="720"/>
                                  <a:ext cx="720" cy="2257920"/>
                                </a:xfrm>
                                <a:custGeom>
                                  <a:avLst/>
                                  <a:gdLst>
                                    <a:gd name="textAreaLeft" fmla="*/ 0 w 360"/>
                                    <a:gd name="textAreaRight" fmla="*/ 720 w 360"/>
                                    <a:gd name="textAreaTop" fmla="*/ 0 h 1280160"/>
                                    <a:gd name="textAreaBottom" fmla="*/ 1280520 h 1280160"/>
                                  </a:gdLst>
                                  <a:ahLst/>
                                  <a:cxnLst/>
                                  <a:rect l="textAreaLeft" t="textAreaTop" r="textAreaRight" b="textAreaBottom"/>
                                  <a:pathLst>
                                    <a:path w="1270" h="2514600">
                                      <a:moveTo>
                                        <a:pt x="0" y="0"/>
                                      </a:moveTo>
                                      <a:lnTo>
                                        <a:pt x="0" y="2514600"/>
                                      </a:lnTo>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25" name="Dowolny kształt 25"/>
                              <wps:cNvSpPr/>
                              <wps:spPr>
                                <a:xfrm>
                                  <a:off x="0" y="0"/>
                                  <a:ext cx="6841440" cy="262080"/>
                                </a:xfrm>
                                <a:custGeom>
                                  <a:avLst/>
                                  <a:gdLst>
                                    <a:gd name="textAreaLeft" fmla="*/ 0 w 3878640"/>
                                    <a:gd name="textAreaRight" fmla="*/ 3879000 w 3878640"/>
                                    <a:gd name="textAreaTop" fmla="*/ 0 h 148680"/>
                                    <a:gd name="textAreaBottom" fmla="*/ 149040 h 148680"/>
                                  </a:gdLst>
                                  <a:ahLst/>
                                  <a:cxnLst/>
                                  <a:rect l="textAreaLeft" t="textAreaTop" r="textAreaRight" b="textAreaBottom"/>
                                  <a:pathLst>
                                    <a:path w="6841490" h="292735">
                                      <a:moveTo>
                                        <a:pt x="0" y="0"/>
                                      </a:moveTo>
                                      <a:lnTo>
                                        <a:pt x="0" y="292735"/>
                                      </a:lnTo>
                                      <a:lnTo>
                                        <a:pt x="6841490" y="292735"/>
                                      </a:lnTo>
                                      <a:lnTo>
                                        <a:pt x="6841490" y="0"/>
                                      </a:lnTo>
                                      <a:close/>
                                    </a:path>
                                  </a:pathLst>
                                </a:custGeom>
                                <a:noFill/>
                                <a:ln w="0">
                                  <a:noFill/>
                                </a:ln>
                              </wps:spPr>
                              <wps:style>
                                <a:lnRef idx="0">
                                  <a:scrgbClr r="0" g="0" b="0"/>
                                </a:lnRef>
                                <a:fillRef idx="0">
                                  <a:scrgbClr r="0" g="0" b="0"/>
                                </a:fillRef>
                                <a:effectRef idx="0">
                                  <a:scrgbClr r="0" g="0" b="0"/>
                                </a:effectRef>
                                <a:fontRef idx="minor"/>
                              </wps:style>
                              <wps:txbx>
                                <w:txbxContent>
                                  <w:p w:rsidR="00143542" w:rsidRDefault="00F720DE">
                                    <w:pPr>
                                      <w:spacing w:before="74"/>
                                      <w:ind w:right="2"/>
                                      <w:jc w:val="center"/>
                                    </w:pPr>
                                    <w:r>
                                      <w:rPr>
                                        <w:rFonts w:ascii="Times New Roman" w:eastAsia="Times New Roman" w:hAnsi="Times New Roman" w:cs="Times New Roman"/>
                                        <w:b/>
                                        <w:color w:val="000000"/>
                                      </w:rPr>
                                      <w:t>Literatura i pomoce naukowe</w:t>
                                    </w:r>
                                    <w:r>
                                      <w:rPr>
                                        <w:rFonts w:ascii="Times New Roman" w:eastAsia="Times New Roman" w:hAnsi="Times New Roman" w:cs="Times New Roman"/>
                                        <w:b/>
                                        <w:color w:val="000000"/>
                                        <w:sz w:val="23"/>
                                        <w:vertAlign w:val="superscript"/>
                                      </w:rPr>
                                      <w:t>8</w:t>
                                    </w:r>
                                  </w:p>
                                </w:txbxContent>
                              </wps:txbx>
                              <wps:bodyPr lIns="88920" tIns="38160" rIns="88920" bIns="38160" anchor="t">
                                <a:noAutofit/>
                              </wps:bodyPr>
                            </wps:wsp>
                            <wps:wsp>
                              <wps:cNvPr id="26" name="Dowolny kształt 26"/>
                              <wps:cNvSpPr/>
                              <wps:spPr>
                                <a:xfrm>
                                  <a:off x="0" y="262440"/>
                                  <a:ext cx="6841440" cy="2000880"/>
                                </a:xfrm>
                                <a:custGeom>
                                  <a:avLst/>
                                  <a:gdLst>
                                    <a:gd name="textAreaLeft" fmla="*/ 0 w 3878640"/>
                                    <a:gd name="textAreaRight" fmla="*/ 3879000 w 3878640"/>
                                    <a:gd name="textAreaTop" fmla="*/ 0 h 1134360"/>
                                    <a:gd name="textAreaBottom" fmla="*/ 1134720 h 1134360"/>
                                  </a:gdLst>
                                  <a:ahLst/>
                                  <a:cxnLst/>
                                  <a:rect l="textAreaLeft" t="textAreaTop" r="textAreaRight" b="textAreaBottom"/>
                                  <a:pathLst>
                                    <a:path w="6841490" h="2228215">
                                      <a:moveTo>
                                        <a:pt x="0" y="0"/>
                                      </a:moveTo>
                                      <a:lnTo>
                                        <a:pt x="0" y="2228215"/>
                                      </a:lnTo>
                                      <a:lnTo>
                                        <a:pt x="6841490" y="2228215"/>
                                      </a:lnTo>
                                      <a:lnTo>
                                        <a:pt x="6841490" y="0"/>
                                      </a:lnTo>
                                      <a:close/>
                                    </a:path>
                                  </a:pathLst>
                                </a:custGeom>
                                <a:noFill/>
                                <a:ln w="0">
                                  <a:noFill/>
                                </a:ln>
                              </wps:spPr>
                              <wps:style>
                                <a:lnRef idx="0">
                                  <a:scrgbClr r="0" g="0" b="0"/>
                                </a:lnRef>
                                <a:fillRef idx="0">
                                  <a:scrgbClr r="0" g="0" b="0"/>
                                </a:fillRef>
                                <a:effectRef idx="0">
                                  <a:scrgbClr r="0" g="0" b="0"/>
                                </a:effectRef>
                                <a:fontRef idx="minor"/>
                              </wps:style>
                              <wps:txbx>
                                <w:txbxContent>
                                  <w:p w:rsidR="00143542" w:rsidRDefault="00F720DE">
                                    <w:pPr>
                                      <w:spacing w:before="60"/>
                                      <w:ind w:left="146" w:firstLine="292"/>
                                    </w:pPr>
                                    <w:r>
                                      <w:rPr>
                                        <w:rFonts w:ascii="Times New Roman" w:eastAsia="Times New Roman" w:hAnsi="Times New Roman" w:cs="Times New Roman"/>
                                        <w:b/>
                                        <w:color w:val="000000"/>
                                      </w:rPr>
                                      <w:t>Literatura podstawowa</w:t>
                                    </w:r>
                                  </w:p>
                                  <w:p w:rsidR="00143542" w:rsidRDefault="00F720DE">
                                    <w:pPr>
                                      <w:spacing w:before="53"/>
                                      <w:ind w:left="404" w:firstLine="608"/>
                                    </w:pPr>
                                    <w:r>
                                      <w:rPr>
                                        <w:rFonts w:ascii="Times New Roman" w:eastAsia="Times New Roman" w:hAnsi="Times New Roman" w:cs="Times New Roman"/>
                                        <w:i/>
                                        <w:color w:val="000000"/>
                                        <w:sz w:val="20"/>
                                      </w:rPr>
                                      <w:t>Daniel B., Pruszyński B. 2022. Anatomia radiologiczna RTG, TK, MR, USG. Warszawa: PZWL.</w:t>
                                    </w:r>
                                  </w:p>
                                  <w:p w:rsidR="00143542" w:rsidRDefault="00F720DE">
                                    <w:pPr>
                                      <w:spacing w:before="63"/>
                                      <w:ind w:left="404" w:firstLine="608"/>
                                    </w:pPr>
                                    <w:proofErr w:type="spellStart"/>
                                    <w:r>
                                      <w:rPr>
                                        <w:rFonts w:ascii="Times New Roman" w:eastAsia="Times New Roman" w:hAnsi="Times New Roman" w:cs="Times New Roman"/>
                                        <w:i/>
                                        <w:color w:val="000000"/>
                                        <w:sz w:val="20"/>
                                      </w:rPr>
                                      <w:t>Herring</w:t>
                                    </w:r>
                                    <w:proofErr w:type="spellEnd"/>
                                    <w:r>
                                      <w:rPr>
                                        <w:rFonts w:ascii="Times New Roman" w:eastAsia="Times New Roman" w:hAnsi="Times New Roman" w:cs="Times New Roman"/>
                                        <w:i/>
                                        <w:color w:val="000000"/>
                                        <w:sz w:val="20"/>
                                      </w:rPr>
                                      <w:t xml:space="preserve"> W. 2021. Podręcznik radiologii. Wrocław: </w:t>
                                    </w:r>
                                    <w:proofErr w:type="spellStart"/>
                                    <w:r>
                                      <w:rPr>
                                        <w:rFonts w:ascii="Times New Roman" w:eastAsia="Times New Roman" w:hAnsi="Times New Roman" w:cs="Times New Roman"/>
                                        <w:i/>
                                        <w:color w:val="000000"/>
                                        <w:sz w:val="20"/>
                                      </w:rPr>
                                      <w:t>Edra</w:t>
                                    </w:r>
                                    <w:proofErr w:type="spellEnd"/>
                                    <w:r>
                                      <w:rPr>
                                        <w:rFonts w:ascii="Times New Roman" w:eastAsia="Times New Roman" w:hAnsi="Times New Roman" w:cs="Times New Roman"/>
                                        <w:i/>
                                        <w:color w:val="000000"/>
                                        <w:sz w:val="20"/>
                                      </w:rPr>
                                      <w:t xml:space="preserve"> Urban &amp; Partner.</w:t>
                                    </w:r>
                                  </w:p>
                                  <w:p w:rsidR="00143542" w:rsidRDefault="00F720DE">
                                    <w:pPr>
                                      <w:spacing w:before="125"/>
                                      <w:ind w:left="146" w:firstLine="292"/>
                                    </w:pPr>
                                    <w:r>
                                      <w:rPr>
                                        <w:rFonts w:ascii="Times New Roman" w:eastAsia="Times New Roman" w:hAnsi="Times New Roman" w:cs="Times New Roman"/>
                                        <w:b/>
                                        <w:color w:val="000000"/>
                                      </w:rPr>
                                      <w:t>Literatura uzupełniająca</w:t>
                                    </w:r>
                                  </w:p>
                                  <w:p w:rsidR="00143542" w:rsidRDefault="00F720DE">
                                    <w:pPr>
                                      <w:spacing w:before="49"/>
                                      <w:ind w:left="404" w:firstLine="608"/>
                                    </w:pPr>
                                    <w:proofErr w:type="spellStart"/>
                                    <w:r>
                                      <w:rPr>
                                        <w:rFonts w:ascii="Times New Roman" w:eastAsia="Times New Roman" w:hAnsi="Times New Roman" w:cs="Times New Roman"/>
                                        <w:i/>
                                        <w:color w:val="000000"/>
                                        <w:sz w:val="20"/>
                                      </w:rPr>
                                      <w:t>Bruyn</w:t>
                                    </w:r>
                                    <w:proofErr w:type="spellEnd"/>
                                    <w:r>
                                      <w:rPr>
                                        <w:rFonts w:ascii="Times New Roman" w:eastAsia="Times New Roman" w:hAnsi="Times New Roman" w:cs="Times New Roman"/>
                                        <w:i/>
                                        <w:color w:val="000000"/>
                                        <w:sz w:val="20"/>
                                      </w:rPr>
                                      <w:t xml:space="preserve"> R. 2011. Ultrasonografia w pediatrii. Wrocław: </w:t>
                                    </w:r>
                                    <w:proofErr w:type="spellStart"/>
                                    <w:r>
                                      <w:rPr>
                                        <w:rFonts w:ascii="Times New Roman" w:eastAsia="Times New Roman" w:hAnsi="Times New Roman" w:cs="Times New Roman"/>
                                        <w:i/>
                                        <w:color w:val="000000"/>
                                        <w:sz w:val="20"/>
                                      </w:rPr>
                                      <w:t>Edra</w:t>
                                    </w:r>
                                    <w:proofErr w:type="spellEnd"/>
                                    <w:r>
                                      <w:rPr>
                                        <w:rFonts w:ascii="Times New Roman" w:eastAsia="Times New Roman" w:hAnsi="Times New Roman" w:cs="Times New Roman"/>
                                        <w:i/>
                                        <w:color w:val="000000"/>
                                        <w:sz w:val="20"/>
                                      </w:rPr>
                                      <w:t xml:space="preserve"> Urban &amp; Partner.</w:t>
                                    </w:r>
                                  </w:p>
                                  <w:p w:rsidR="00143542" w:rsidRDefault="00F720DE">
                                    <w:pPr>
                                      <w:spacing w:before="63"/>
                                      <w:ind w:left="404" w:firstLine="608"/>
                                    </w:pPr>
                                    <w:proofErr w:type="spellStart"/>
                                    <w:r>
                                      <w:rPr>
                                        <w:rFonts w:ascii="Times New Roman" w:eastAsia="Times New Roman" w:hAnsi="Times New Roman" w:cs="Times New Roman"/>
                                        <w:i/>
                                        <w:color w:val="000000"/>
                                        <w:sz w:val="20"/>
                                      </w:rPr>
                                      <w:t>Marchiori</w:t>
                                    </w:r>
                                    <w:proofErr w:type="spellEnd"/>
                                    <w:r>
                                      <w:rPr>
                                        <w:rFonts w:ascii="Times New Roman" w:eastAsia="Times New Roman" w:hAnsi="Times New Roman" w:cs="Times New Roman"/>
                                        <w:i/>
                                        <w:color w:val="000000"/>
                                        <w:sz w:val="20"/>
                                      </w:rPr>
                                      <w:t xml:space="preserve"> D. 2000. Radiologia kliniczna. Lublin: </w:t>
                                    </w:r>
                                    <w:proofErr w:type="spellStart"/>
                                    <w:r>
                                      <w:rPr>
                                        <w:rFonts w:ascii="Times New Roman" w:eastAsia="Times New Roman" w:hAnsi="Times New Roman" w:cs="Times New Roman"/>
                                        <w:i/>
                                        <w:color w:val="000000"/>
                                        <w:sz w:val="20"/>
                                      </w:rPr>
                                      <w:t>Czelej</w:t>
                                    </w:r>
                                    <w:proofErr w:type="spellEnd"/>
                                    <w:r>
                                      <w:rPr>
                                        <w:rFonts w:ascii="Times New Roman" w:eastAsia="Times New Roman" w:hAnsi="Times New Roman" w:cs="Times New Roman"/>
                                        <w:i/>
                                        <w:color w:val="000000"/>
                                        <w:sz w:val="20"/>
                                      </w:rPr>
                                      <w:t>.</w:t>
                                    </w:r>
                                  </w:p>
                                  <w:p w:rsidR="00143542" w:rsidRDefault="00F720DE">
                                    <w:pPr>
                                      <w:spacing w:before="130"/>
                                      <w:ind w:left="146" w:firstLine="292"/>
                                    </w:pPr>
                                    <w:r>
                                      <w:rPr>
                                        <w:rFonts w:ascii="Times New Roman" w:eastAsia="Times New Roman" w:hAnsi="Times New Roman" w:cs="Times New Roman"/>
                                        <w:b/>
                                        <w:color w:val="000000"/>
                                      </w:rPr>
                                      <w:t>Inne pomoce naukowe</w:t>
                                    </w:r>
                                  </w:p>
                                  <w:p w:rsidR="00143542" w:rsidRDefault="00F720DE">
                                    <w:pPr>
                                      <w:spacing w:before="49"/>
                                      <w:ind w:left="404" w:firstLine="608"/>
                                    </w:pPr>
                                    <w:r>
                                      <w:rPr>
                                        <w:rFonts w:ascii="Times New Roman" w:eastAsia="Times New Roman" w:hAnsi="Times New Roman" w:cs="Times New Roman"/>
                                        <w:i/>
                                        <w:color w:val="000000"/>
                                        <w:sz w:val="20"/>
                                      </w:rPr>
                                      <w:t>Rzutnik multimedialny.</w:t>
                                    </w:r>
                                  </w:p>
                                  <w:p w:rsidR="00143542" w:rsidRDefault="00F720DE">
                                    <w:pPr>
                                      <w:spacing w:before="63"/>
                                      <w:ind w:left="404" w:firstLine="608"/>
                                    </w:pPr>
                                    <w:r>
                                      <w:rPr>
                                        <w:rFonts w:ascii="Times New Roman" w:eastAsia="Times New Roman" w:hAnsi="Times New Roman" w:cs="Times New Roman"/>
                                        <w:i/>
                                        <w:color w:val="000000"/>
                                        <w:sz w:val="20"/>
                                      </w:rPr>
                                      <w:t>Laptop.</w:t>
                                    </w:r>
                                  </w:p>
                                  <w:p w:rsidR="00143542" w:rsidRDefault="00F720DE">
                                    <w:pPr>
                                      <w:spacing w:before="58"/>
                                      <w:ind w:left="404" w:firstLine="608"/>
                                    </w:pPr>
                                    <w:r>
                                      <w:rPr>
                                        <w:rFonts w:ascii="Times New Roman" w:eastAsia="Times New Roman" w:hAnsi="Times New Roman" w:cs="Times New Roman"/>
                                        <w:i/>
                                        <w:color w:val="000000"/>
                                        <w:sz w:val="20"/>
                                      </w:rPr>
                                      <w:t>Konsole obróbki zdjęć radiologicznych.</w:t>
                                    </w:r>
                                  </w:p>
                                  <w:p w:rsidR="00143542" w:rsidRDefault="00F720DE">
                                    <w:pPr>
                                      <w:spacing w:before="63"/>
                                      <w:ind w:left="404" w:firstLine="608"/>
                                    </w:pPr>
                                    <w:r>
                                      <w:rPr>
                                        <w:rFonts w:ascii="Times New Roman" w:eastAsia="Times New Roman" w:hAnsi="Times New Roman" w:cs="Times New Roman"/>
                                        <w:i/>
                                        <w:color w:val="000000"/>
                                        <w:sz w:val="20"/>
                                      </w:rPr>
                                      <w:t>Negatoskopy.</w:t>
                                    </w:r>
                                  </w:p>
                                </w:txbxContent>
                              </wps:txbx>
                              <wps:bodyPr lIns="88920" tIns="38160" rIns="88920" bIns="38160" anchor="t">
                                <a:noAutofit/>
                              </wps:bodyPr>
                            </wps:wsp>
                          </wpg:grpSp>
                        </wpg:grpSp>
                      </wpg:grp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id="shape_0" alt="Grupa 14" style="position:absolute;margin-left:0pt;margin-top:-200.1pt;width:540.1pt;height:200.05pt" coordorigin="0,-4002" coordsize="10802,4001">
                <v:group id="shape_0" style="position:absolute;left:0;top:-4002;width:10802;height:4001">
                  <v:rect id="shape_0" ID="Prostokąt 16" path="m0,0l-2147483645,0l-2147483645,-2147483646l0,-2147483646xe" stroked="f" o:allowincell="f" style="position:absolute;left:0;top:-4002;width:10801;height:4000;mso-wrap-style:none;v-text-anchor:middle;mso-position-vertical:top">
                    <v:fill o:detectmouseclick="t" on="false"/>
                    <v:stroke color="#3465a4" joinstyle="round" endcap="flat"/>
                    <v:textbox>
                      <w:txbxContent>
                        <w:p>
                          <w:pPr>
                            <w:pStyle w:val="Normal"/>
                            <w:rPr/>
                          </w:pPr>
                          <w:r>
                            <w:rPr/>
                          </w:r>
                        </w:p>
                      </w:txbxContent>
                    </v:textbox>
                    <w10:wrap type="square"/>
                  </v:rect>
                  <v:group id="shape_0" style="position:absolute;left:0;top:-4002;width:10802;height:3593">
                    <v:rect id="shape_0" ID="Prostokąt 18" path="m0,0l-2147483645,0l-2147483645,-2147483646l0,-2147483646xe" stroked="f" o:allowincell="f" style="position:absolute;left:0;top:-4002;width:10801;height:3592;mso-wrap-style:none;v-text-anchor:middle;mso-position-vertical:top">
                      <v:fill o:detectmouseclick="t" on="false"/>
                      <v:stroke color="#3465a4" joinstyle="round" endcap="flat"/>
                      <v:textbox>
                        <w:txbxContent>
                          <w:p>
                            <w:pPr>
                              <w:pStyle w:val="Normal"/>
                              <w:rPr/>
                            </w:pPr>
                            <w:r>
                              <w:rPr/>
                            </w:r>
                          </w:p>
                        </w:txbxContent>
                      </v:textbox>
                      <w10:wrap type="square"/>
                    </v:rect>
                    <v:group id="shape_0" style="position:absolute;left:15;top:-3981;width:10776;height:3564"/>
                  </v:group>
                </v:group>
              </v:group>
            </w:pict>
          </mc:Fallback>
        </mc:AlternateContent>
      </w:r>
    </w:p>
    <w:p w:rsidR="00143542" w:rsidRDefault="00143542">
      <w:pPr>
        <w:rPr>
          <w:rFonts w:ascii="Times New Roman" w:eastAsia="Times New Roman" w:hAnsi="Times New Roman" w:cs="Times New Roman"/>
          <w:sz w:val="20"/>
          <w:szCs w:val="20"/>
        </w:rPr>
      </w:pPr>
    </w:p>
    <w:p w:rsidR="00143542" w:rsidRDefault="00143542">
      <w:pPr>
        <w:spacing w:before="7"/>
        <w:rPr>
          <w:rFonts w:ascii="Times New Roman" w:eastAsia="Times New Roman" w:hAnsi="Times New Roman" w:cs="Times New Roman"/>
          <w:sz w:val="26"/>
          <w:szCs w:val="26"/>
        </w:rPr>
      </w:pPr>
    </w:p>
    <w:tbl>
      <w:tblPr>
        <w:tblW w:w="10795" w:type="dxa"/>
        <w:tblInd w:w="115" w:type="dxa"/>
        <w:tblLayout w:type="fixed"/>
        <w:tblLook w:val="0000" w:firstRow="0" w:lastRow="0" w:firstColumn="0" w:lastColumn="0" w:noHBand="0" w:noVBand="0"/>
      </w:tblPr>
      <w:tblGrid>
        <w:gridCol w:w="5679"/>
        <w:gridCol w:w="1703"/>
        <w:gridCol w:w="3399"/>
        <w:gridCol w:w="14"/>
      </w:tblGrid>
      <w:tr w:rsidR="00AC5B6D" w:rsidRPr="00AC5B6D" w:rsidTr="005C6390">
        <w:trPr>
          <w:gridAfter w:val="1"/>
          <w:wAfter w:w="14" w:type="dxa"/>
          <w:trHeight w:val="458"/>
        </w:trPr>
        <w:tc>
          <w:tcPr>
            <w:tcW w:w="10781" w:type="dxa"/>
            <w:gridSpan w:val="3"/>
            <w:tcBorders>
              <w:top w:val="single" w:sz="6" w:space="0" w:color="000000"/>
              <w:left w:val="single" w:sz="4" w:space="0" w:color="000000"/>
              <w:bottom w:val="single" w:sz="4" w:space="0" w:color="000000"/>
              <w:right w:val="single" w:sz="4" w:space="0" w:color="000000"/>
            </w:tcBorders>
          </w:tcPr>
          <w:p w:rsidR="00143542" w:rsidRPr="00AC5B6D" w:rsidRDefault="00F720DE">
            <w:pPr>
              <w:spacing w:before="91"/>
              <w:ind w:left="431"/>
              <w:rPr>
                <w:rFonts w:ascii="Times New Roman" w:eastAsia="Times New Roman" w:hAnsi="Times New Roman" w:cs="Times New Roman"/>
              </w:rPr>
            </w:pPr>
            <w:bookmarkStart w:id="0" w:name="_GoBack"/>
            <w:r w:rsidRPr="00AC5B6D">
              <w:rPr>
                <w:rFonts w:ascii="Times New Roman" w:eastAsia="Times New Roman" w:hAnsi="Times New Roman" w:cs="Times New Roman"/>
                <w:b/>
              </w:rPr>
              <w:t>Nakład pracy studenta potrzebny do osiągnięcia zakładanych efektów uczenia się – bilans punktów ECTS</w:t>
            </w:r>
          </w:p>
        </w:tc>
      </w:tr>
      <w:tr w:rsidR="00AC5B6D" w:rsidRPr="00AC5B6D" w:rsidTr="005C6390">
        <w:trPr>
          <w:gridAfter w:val="1"/>
          <w:wAfter w:w="14" w:type="dxa"/>
          <w:trHeight w:val="466"/>
        </w:trPr>
        <w:tc>
          <w:tcPr>
            <w:tcW w:w="5679" w:type="dxa"/>
            <w:vMerge w:val="restart"/>
            <w:tcBorders>
              <w:top w:val="single" w:sz="4" w:space="0" w:color="000000"/>
              <w:left w:val="single" w:sz="4" w:space="0" w:color="000000"/>
              <w:right w:val="single" w:sz="4" w:space="0" w:color="000000"/>
            </w:tcBorders>
          </w:tcPr>
          <w:p w:rsidR="00143542" w:rsidRPr="00AC5B6D" w:rsidRDefault="00143542">
            <w:pPr>
              <w:rPr>
                <w:rFonts w:ascii="Times New Roman" w:eastAsia="Times New Roman" w:hAnsi="Times New Roman" w:cs="Times New Roman"/>
                <w:sz w:val="20"/>
                <w:szCs w:val="20"/>
              </w:rPr>
            </w:pPr>
          </w:p>
          <w:p w:rsidR="00143542" w:rsidRPr="00AC5B6D" w:rsidRDefault="00143542">
            <w:pPr>
              <w:rPr>
                <w:rFonts w:ascii="Times New Roman" w:eastAsia="Times New Roman" w:hAnsi="Times New Roman" w:cs="Times New Roman"/>
                <w:sz w:val="20"/>
                <w:szCs w:val="20"/>
              </w:rPr>
            </w:pPr>
          </w:p>
          <w:p w:rsidR="00143542" w:rsidRPr="00AC5B6D" w:rsidRDefault="00F720DE">
            <w:pPr>
              <w:spacing w:before="173"/>
              <w:ind w:left="1539"/>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Udział w zajęciach, aktywność</w:t>
            </w:r>
          </w:p>
        </w:tc>
        <w:tc>
          <w:tcPr>
            <w:tcW w:w="5102" w:type="dxa"/>
            <w:gridSpan w:val="2"/>
            <w:tcBorders>
              <w:top w:val="single" w:sz="4" w:space="0" w:color="000000"/>
              <w:left w:val="single" w:sz="4" w:space="0" w:color="000000"/>
              <w:bottom w:val="single" w:sz="4" w:space="0" w:color="000000"/>
              <w:right w:val="single" w:sz="4" w:space="0" w:color="000000"/>
            </w:tcBorders>
          </w:tcPr>
          <w:p w:rsidR="00143542" w:rsidRPr="00AC5B6D" w:rsidRDefault="00F720DE">
            <w:pPr>
              <w:spacing w:before="105"/>
              <w:ind w:left="1592"/>
              <w:rPr>
                <w:rFonts w:ascii="Times New Roman" w:eastAsia="Times New Roman" w:hAnsi="Times New Roman" w:cs="Times New Roman"/>
                <w:sz w:val="20"/>
                <w:szCs w:val="20"/>
              </w:rPr>
            </w:pPr>
            <w:r w:rsidRPr="00AC5B6D">
              <w:rPr>
                <w:rFonts w:ascii="Times New Roman" w:eastAsia="Times New Roman" w:hAnsi="Times New Roman" w:cs="Times New Roman"/>
                <w:sz w:val="20"/>
                <w:szCs w:val="20"/>
              </w:rPr>
              <w:t>Obciążenie studenta [h]</w:t>
            </w:r>
          </w:p>
        </w:tc>
      </w:tr>
      <w:tr w:rsidR="00AC5B6D" w:rsidRPr="00AC5B6D" w:rsidTr="005C6390">
        <w:trPr>
          <w:trHeight w:val="1046"/>
        </w:trPr>
        <w:tc>
          <w:tcPr>
            <w:tcW w:w="5679" w:type="dxa"/>
            <w:vMerge/>
            <w:tcBorders>
              <w:top w:val="single" w:sz="4" w:space="0" w:color="000000"/>
              <w:left w:val="single" w:sz="4" w:space="0" w:color="000000"/>
              <w:right w:val="single" w:sz="4" w:space="0" w:color="000000"/>
            </w:tcBorders>
          </w:tcPr>
          <w:p w:rsidR="005C6390" w:rsidRPr="00AC5B6D" w:rsidRDefault="005C6390">
            <w:pPr>
              <w:spacing w:line="276" w:lineRule="auto"/>
              <w:rPr>
                <w:rFonts w:ascii="Times New Roman" w:eastAsia="Times New Roman" w:hAnsi="Times New Roman" w:cs="Times New Roman"/>
                <w:sz w:val="20"/>
                <w:szCs w:val="20"/>
              </w:rPr>
            </w:pPr>
          </w:p>
        </w:tc>
        <w:tc>
          <w:tcPr>
            <w:tcW w:w="1703" w:type="dxa"/>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47"/>
              <w:ind w:left="181" w:right="179" w:firstLine="3"/>
              <w:jc w:val="center"/>
              <w:rPr>
                <w:rFonts w:ascii="Times New Roman" w:eastAsia="Times New Roman" w:hAnsi="Times New Roman" w:cs="Times New Roman"/>
                <w:sz w:val="20"/>
                <w:szCs w:val="20"/>
              </w:rPr>
            </w:pPr>
            <w:r w:rsidRPr="00AC5B6D">
              <w:rPr>
                <w:rFonts w:ascii="Times New Roman" w:eastAsia="Times New Roman" w:hAnsi="Times New Roman" w:cs="Times New Roman"/>
                <w:sz w:val="20"/>
                <w:szCs w:val="20"/>
              </w:rPr>
              <w:t>Praca własna studenta: zajęcia bez nauczyciela (ZBN)</w:t>
            </w:r>
          </w:p>
        </w:tc>
        <w:tc>
          <w:tcPr>
            <w:tcW w:w="3413" w:type="dxa"/>
            <w:gridSpan w:val="2"/>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2"/>
              <w:rPr>
                <w:rFonts w:ascii="Times New Roman" w:eastAsia="Times New Roman" w:hAnsi="Times New Roman" w:cs="Times New Roman"/>
                <w:sz w:val="24"/>
                <w:szCs w:val="24"/>
              </w:rPr>
            </w:pPr>
          </w:p>
          <w:p w:rsidR="005C6390" w:rsidRPr="00AC5B6D" w:rsidRDefault="005C6390">
            <w:pPr>
              <w:ind w:left="339" w:right="329" w:firstLine="211"/>
              <w:rPr>
                <w:rFonts w:ascii="Times New Roman" w:eastAsia="Times New Roman" w:hAnsi="Times New Roman" w:cs="Times New Roman"/>
                <w:sz w:val="20"/>
                <w:szCs w:val="20"/>
              </w:rPr>
            </w:pPr>
            <w:r w:rsidRPr="00AC5B6D">
              <w:rPr>
                <w:rFonts w:ascii="Times New Roman" w:eastAsia="Times New Roman" w:hAnsi="Times New Roman" w:cs="Times New Roman"/>
                <w:sz w:val="20"/>
                <w:szCs w:val="20"/>
              </w:rPr>
              <w:t>Zajęcia dydaktyczne</w:t>
            </w:r>
          </w:p>
        </w:tc>
      </w:tr>
      <w:tr w:rsidR="00AC5B6D" w:rsidRPr="00AC5B6D" w:rsidTr="005C6390">
        <w:trPr>
          <w:trHeight w:val="461"/>
        </w:trPr>
        <w:tc>
          <w:tcPr>
            <w:tcW w:w="5679" w:type="dxa"/>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105"/>
              <w:ind w:left="138"/>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Udział w ćwiczeniach klinicznych</w:t>
            </w:r>
          </w:p>
        </w:tc>
        <w:tc>
          <w:tcPr>
            <w:tcW w:w="1703" w:type="dxa"/>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100"/>
              <w:ind w:right="2"/>
              <w:jc w:val="center"/>
              <w:rPr>
                <w:rFonts w:ascii="Times New Roman" w:eastAsia="Times New Roman" w:hAnsi="Times New Roman" w:cs="Times New Roman"/>
                <w:sz w:val="20"/>
                <w:szCs w:val="20"/>
              </w:rPr>
            </w:pPr>
            <w:r w:rsidRPr="00AC5B6D">
              <w:rPr>
                <w:rFonts w:ascii="Times New Roman" w:eastAsia="Times New Roman" w:hAnsi="Times New Roman" w:cs="Times New Roman"/>
                <w:sz w:val="20"/>
                <w:szCs w:val="20"/>
              </w:rPr>
              <w:t>-</w:t>
            </w:r>
          </w:p>
        </w:tc>
        <w:tc>
          <w:tcPr>
            <w:tcW w:w="3413" w:type="dxa"/>
            <w:gridSpan w:val="2"/>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100"/>
              <w:ind w:left="7"/>
              <w:jc w:val="center"/>
              <w:rPr>
                <w:rFonts w:ascii="Times New Roman" w:eastAsia="Times New Roman" w:hAnsi="Times New Roman" w:cs="Times New Roman"/>
                <w:sz w:val="20"/>
                <w:szCs w:val="20"/>
              </w:rPr>
            </w:pPr>
            <w:r w:rsidRPr="00AC5B6D">
              <w:rPr>
                <w:rFonts w:ascii="Times New Roman" w:eastAsia="Times New Roman" w:hAnsi="Times New Roman" w:cs="Times New Roman"/>
                <w:sz w:val="20"/>
                <w:szCs w:val="20"/>
              </w:rPr>
              <w:t>45 h</w:t>
            </w:r>
          </w:p>
        </w:tc>
      </w:tr>
      <w:tr w:rsidR="00AC5B6D" w:rsidRPr="00AC5B6D" w:rsidTr="005C6390">
        <w:trPr>
          <w:trHeight w:val="466"/>
        </w:trPr>
        <w:tc>
          <w:tcPr>
            <w:tcW w:w="5679" w:type="dxa"/>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110"/>
              <w:ind w:left="138"/>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Udział w seminarium</w:t>
            </w:r>
          </w:p>
        </w:tc>
        <w:tc>
          <w:tcPr>
            <w:tcW w:w="1703" w:type="dxa"/>
            <w:tcBorders>
              <w:top w:val="single" w:sz="4" w:space="0" w:color="000000"/>
              <w:left w:val="single" w:sz="4" w:space="0" w:color="000000"/>
              <w:bottom w:val="single" w:sz="4" w:space="0" w:color="000000"/>
              <w:right w:val="single" w:sz="4" w:space="0" w:color="000000"/>
            </w:tcBorders>
          </w:tcPr>
          <w:p w:rsidR="005C6390" w:rsidRPr="00AC5B6D" w:rsidRDefault="005C6390"/>
        </w:tc>
        <w:tc>
          <w:tcPr>
            <w:tcW w:w="3413" w:type="dxa"/>
            <w:gridSpan w:val="2"/>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105"/>
              <w:ind w:left="7"/>
              <w:jc w:val="center"/>
              <w:rPr>
                <w:rFonts w:ascii="Times New Roman" w:eastAsia="Times New Roman" w:hAnsi="Times New Roman" w:cs="Times New Roman"/>
                <w:sz w:val="20"/>
                <w:szCs w:val="20"/>
              </w:rPr>
            </w:pPr>
            <w:r w:rsidRPr="00AC5B6D">
              <w:rPr>
                <w:rFonts w:ascii="Times New Roman" w:eastAsia="Times New Roman" w:hAnsi="Times New Roman" w:cs="Times New Roman"/>
                <w:sz w:val="20"/>
                <w:szCs w:val="20"/>
              </w:rPr>
              <w:t>45 h</w:t>
            </w:r>
          </w:p>
        </w:tc>
      </w:tr>
      <w:tr w:rsidR="00AC5B6D" w:rsidRPr="00AC5B6D" w:rsidTr="005C6390">
        <w:trPr>
          <w:trHeight w:val="634"/>
        </w:trPr>
        <w:tc>
          <w:tcPr>
            <w:tcW w:w="5679" w:type="dxa"/>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76"/>
              <w:ind w:left="138" w:right="987"/>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Przygotowanie się do wykładów/ćwiczeń/seminariów/ Przygotowanie do zaliczenia/egzaminu</w:t>
            </w:r>
          </w:p>
        </w:tc>
        <w:tc>
          <w:tcPr>
            <w:tcW w:w="1703" w:type="dxa"/>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3"/>
              <w:rPr>
                <w:rFonts w:ascii="Times New Roman" w:eastAsia="Times New Roman" w:hAnsi="Times New Roman" w:cs="Times New Roman"/>
                <w:sz w:val="16"/>
                <w:szCs w:val="16"/>
              </w:rPr>
            </w:pPr>
          </w:p>
          <w:p w:rsidR="005C6390" w:rsidRPr="00AC5B6D" w:rsidRDefault="00CD7B63">
            <w:pPr>
              <w:ind w:left="2"/>
              <w:jc w:val="center"/>
              <w:rPr>
                <w:rFonts w:ascii="Times New Roman" w:eastAsia="Times New Roman" w:hAnsi="Times New Roman" w:cs="Times New Roman"/>
                <w:sz w:val="20"/>
                <w:szCs w:val="20"/>
              </w:rPr>
            </w:pPr>
            <w:r w:rsidRPr="00AC5B6D">
              <w:rPr>
                <w:rFonts w:ascii="Times New Roman" w:eastAsia="Times New Roman" w:hAnsi="Times New Roman" w:cs="Times New Roman"/>
                <w:sz w:val="20"/>
                <w:szCs w:val="20"/>
              </w:rPr>
              <w:t>9</w:t>
            </w:r>
            <w:r w:rsidR="005C6390" w:rsidRPr="00AC5B6D">
              <w:rPr>
                <w:rFonts w:ascii="Times New Roman" w:eastAsia="Times New Roman" w:hAnsi="Times New Roman" w:cs="Times New Roman"/>
                <w:sz w:val="20"/>
                <w:szCs w:val="20"/>
              </w:rPr>
              <w:t>0 h</w:t>
            </w:r>
          </w:p>
        </w:tc>
        <w:tc>
          <w:tcPr>
            <w:tcW w:w="3413" w:type="dxa"/>
            <w:gridSpan w:val="2"/>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3"/>
              <w:rPr>
                <w:rFonts w:ascii="Times New Roman" w:eastAsia="Times New Roman" w:hAnsi="Times New Roman" w:cs="Times New Roman"/>
                <w:sz w:val="16"/>
                <w:szCs w:val="16"/>
              </w:rPr>
            </w:pPr>
          </w:p>
          <w:p w:rsidR="005C6390" w:rsidRPr="00AC5B6D" w:rsidRDefault="005C6390">
            <w:pPr>
              <w:jc w:val="center"/>
              <w:rPr>
                <w:rFonts w:ascii="Times New Roman" w:eastAsia="Times New Roman" w:hAnsi="Times New Roman" w:cs="Times New Roman"/>
                <w:sz w:val="20"/>
                <w:szCs w:val="20"/>
              </w:rPr>
            </w:pPr>
            <w:r w:rsidRPr="00AC5B6D">
              <w:rPr>
                <w:rFonts w:ascii="Times New Roman" w:eastAsia="Times New Roman" w:hAnsi="Times New Roman" w:cs="Times New Roman"/>
                <w:sz w:val="20"/>
                <w:szCs w:val="20"/>
              </w:rPr>
              <w:t>-</w:t>
            </w:r>
          </w:p>
        </w:tc>
      </w:tr>
      <w:tr w:rsidR="00AC5B6D" w:rsidRPr="00AC5B6D" w:rsidTr="005C6390">
        <w:trPr>
          <w:trHeight w:val="701"/>
        </w:trPr>
        <w:tc>
          <w:tcPr>
            <w:tcW w:w="5679" w:type="dxa"/>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7"/>
              <w:rPr>
                <w:rFonts w:ascii="Times New Roman" w:eastAsia="Times New Roman" w:hAnsi="Times New Roman" w:cs="Times New Roman"/>
                <w:sz w:val="19"/>
                <w:szCs w:val="19"/>
              </w:rPr>
            </w:pPr>
          </w:p>
          <w:p w:rsidR="005C6390" w:rsidRPr="00AC5B6D" w:rsidRDefault="005C6390">
            <w:pPr>
              <w:ind w:left="80"/>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Sumaryczne obciążenie pracą studenta</w:t>
            </w:r>
          </w:p>
        </w:tc>
        <w:tc>
          <w:tcPr>
            <w:tcW w:w="1703" w:type="dxa"/>
            <w:tcBorders>
              <w:top w:val="single" w:sz="4" w:space="0" w:color="000000"/>
              <w:left w:val="single" w:sz="4" w:space="0" w:color="000000"/>
              <w:bottom w:val="single" w:sz="4" w:space="0" w:color="000000"/>
              <w:right w:val="single" w:sz="4" w:space="0" w:color="000000"/>
            </w:tcBorders>
          </w:tcPr>
          <w:p w:rsidR="005C6390" w:rsidRPr="00AC5B6D" w:rsidRDefault="00CD7B63">
            <w:pPr>
              <w:spacing w:before="52"/>
              <w:ind w:left="1"/>
              <w:jc w:val="center"/>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9</w:t>
            </w:r>
            <w:r w:rsidR="005C6390" w:rsidRPr="00AC5B6D">
              <w:rPr>
                <w:rFonts w:ascii="Times New Roman" w:eastAsia="Times New Roman" w:hAnsi="Times New Roman" w:cs="Times New Roman"/>
                <w:b/>
                <w:sz w:val="20"/>
                <w:szCs w:val="20"/>
              </w:rPr>
              <w:t>0 h/</w:t>
            </w:r>
          </w:p>
          <w:p w:rsidR="005C6390" w:rsidRPr="00AC5B6D" w:rsidRDefault="00CD7B63">
            <w:pPr>
              <w:spacing w:before="115"/>
              <w:ind w:left="8"/>
              <w:jc w:val="center"/>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3</w:t>
            </w:r>
            <w:r w:rsidR="005C6390" w:rsidRPr="00AC5B6D">
              <w:rPr>
                <w:rFonts w:ascii="Times New Roman" w:eastAsia="Times New Roman" w:hAnsi="Times New Roman" w:cs="Times New Roman"/>
                <w:b/>
                <w:sz w:val="20"/>
                <w:szCs w:val="20"/>
              </w:rPr>
              <w:t xml:space="preserve"> ECTS</w:t>
            </w:r>
          </w:p>
        </w:tc>
        <w:tc>
          <w:tcPr>
            <w:tcW w:w="3413" w:type="dxa"/>
            <w:gridSpan w:val="2"/>
            <w:tcBorders>
              <w:top w:val="single" w:sz="4" w:space="0" w:color="000000"/>
              <w:left w:val="single" w:sz="4" w:space="0" w:color="000000"/>
              <w:bottom w:val="single" w:sz="4" w:space="0" w:color="000000"/>
              <w:right w:val="single" w:sz="4" w:space="0" w:color="000000"/>
            </w:tcBorders>
          </w:tcPr>
          <w:p w:rsidR="005C6390" w:rsidRPr="00AC5B6D" w:rsidRDefault="005C6390">
            <w:pPr>
              <w:spacing w:before="52"/>
              <w:ind w:right="1"/>
              <w:jc w:val="center"/>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90 h/</w:t>
            </w:r>
          </w:p>
          <w:p w:rsidR="005C6390" w:rsidRPr="00AC5B6D" w:rsidRDefault="005C6390">
            <w:pPr>
              <w:spacing w:before="115"/>
              <w:ind w:left="3"/>
              <w:jc w:val="center"/>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3,0 ECTS</w:t>
            </w:r>
          </w:p>
        </w:tc>
      </w:tr>
      <w:tr w:rsidR="00AC5B6D" w:rsidRPr="00AC5B6D" w:rsidTr="005C6390">
        <w:trPr>
          <w:gridAfter w:val="1"/>
          <w:wAfter w:w="14" w:type="dxa"/>
          <w:trHeight w:val="374"/>
        </w:trPr>
        <w:tc>
          <w:tcPr>
            <w:tcW w:w="5679" w:type="dxa"/>
            <w:tcBorders>
              <w:top w:val="single" w:sz="4" w:space="0" w:color="000000"/>
              <w:left w:val="single" w:sz="4" w:space="0" w:color="000000"/>
              <w:bottom w:val="single" w:sz="4" w:space="0" w:color="000000"/>
              <w:right w:val="single" w:sz="4" w:space="0" w:color="000000"/>
            </w:tcBorders>
          </w:tcPr>
          <w:p w:rsidR="00143542" w:rsidRPr="00AC5B6D" w:rsidRDefault="00F720DE">
            <w:pPr>
              <w:spacing w:before="62"/>
              <w:ind w:left="138"/>
              <w:rPr>
                <w:rFonts w:ascii="Times New Roman" w:eastAsia="Times New Roman" w:hAnsi="Times New Roman" w:cs="Times New Roman"/>
                <w:sz w:val="20"/>
                <w:szCs w:val="20"/>
              </w:rPr>
            </w:pPr>
            <w:r w:rsidRPr="00AC5B6D">
              <w:rPr>
                <w:rFonts w:ascii="Times New Roman" w:eastAsia="Times New Roman" w:hAnsi="Times New Roman" w:cs="Times New Roman"/>
                <w:b/>
                <w:sz w:val="20"/>
                <w:szCs w:val="20"/>
              </w:rPr>
              <w:t>Punkty ECTS za przedmiot</w:t>
            </w:r>
          </w:p>
        </w:tc>
        <w:tc>
          <w:tcPr>
            <w:tcW w:w="5102" w:type="dxa"/>
            <w:gridSpan w:val="2"/>
            <w:tcBorders>
              <w:top w:val="single" w:sz="4" w:space="0" w:color="000000"/>
              <w:left w:val="single" w:sz="4" w:space="0" w:color="000000"/>
              <w:bottom w:val="single" w:sz="4" w:space="0" w:color="000000"/>
              <w:right w:val="single" w:sz="4" w:space="0" w:color="000000"/>
            </w:tcBorders>
          </w:tcPr>
          <w:p w:rsidR="00143542" w:rsidRPr="00AC5B6D" w:rsidRDefault="00CD7B63">
            <w:pPr>
              <w:spacing w:before="22"/>
              <w:jc w:val="center"/>
              <w:rPr>
                <w:rFonts w:ascii="Times New Roman" w:eastAsia="Times New Roman" w:hAnsi="Times New Roman" w:cs="Times New Roman"/>
                <w:sz w:val="14"/>
                <w:szCs w:val="14"/>
              </w:rPr>
            </w:pPr>
            <w:r w:rsidRPr="00AC5B6D">
              <w:rPr>
                <w:rFonts w:ascii="Times New Roman" w:eastAsia="Times New Roman" w:hAnsi="Times New Roman" w:cs="Times New Roman"/>
                <w:b/>
              </w:rPr>
              <w:t>6</w:t>
            </w:r>
            <w:r w:rsidR="00F720DE" w:rsidRPr="00AC5B6D">
              <w:rPr>
                <w:rFonts w:ascii="Times New Roman" w:eastAsia="Times New Roman" w:hAnsi="Times New Roman" w:cs="Times New Roman"/>
                <w:b/>
              </w:rPr>
              <w:t xml:space="preserve"> ECTS</w:t>
            </w:r>
            <w:r w:rsidR="00F720DE" w:rsidRPr="00AC5B6D">
              <w:rPr>
                <w:rFonts w:ascii="Times New Roman" w:eastAsia="Times New Roman" w:hAnsi="Times New Roman" w:cs="Times New Roman"/>
                <w:b/>
                <w:sz w:val="23"/>
                <w:szCs w:val="23"/>
                <w:vertAlign w:val="superscript"/>
              </w:rPr>
              <w:t>10</w:t>
            </w:r>
          </w:p>
        </w:tc>
      </w:tr>
      <w:bookmarkEnd w:id="0"/>
    </w:tbl>
    <w:p w:rsidR="00143542" w:rsidRDefault="00143542">
      <w:pPr>
        <w:rPr>
          <w:rFonts w:ascii="Times New Roman" w:eastAsia="Times New Roman" w:hAnsi="Times New Roman" w:cs="Times New Roman"/>
          <w:sz w:val="20"/>
          <w:szCs w:val="20"/>
        </w:rPr>
      </w:pP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55"/>
      </w:tblGrid>
      <w:tr w:rsidR="003858DB" w:rsidTr="003858DB">
        <w:trPr>
          <w:trHeight w:val="525"/>
        </w:trPr>
        <w:tc>
          <w:tcPr>
            <w:tcW w:w="10755" w:type="dxa"/>
          </w:tcPr>
          <w:p w:rsidR="003858DB" w:rsidRDefault="003858DB" w:rsidP="003858DB">
            <w:pPr>
              <w:spacing w:before="96"/>
              <w:ind w:right="1"/>
              <w:jc w:val="center"/>
            </w:pPr>
            <w:r>
              <w:rPr>
                <w:rFonts w:ascii="Times New Roman" w:eastAsia="Times New Roman" w:hAnsi="Times New Roman" w:cs="Times New Roman"/>
                <w:b/>
                <w:color w:val="000000"/>
              </w:rPr>
              <w:t>Informacje dodatkowe, uwagi</w:t>
            </w:r>
          </w:p>
          <w:p w:rsidR="003858DB" w:rsidRDefault="003858DB" w:rsidP="003858DB">
            <w:pPr>
              <w:spacing w:before="96"/>
              <w:ind w:right="1"/>
              <w:jc w:val="center"/>
              <w:rPr>
                <w:rFonts w:ascii="Times New Roman" w:eastAsia="Times New Roman" w:hAnsi="Times New Roman" w:cs="Times New Roman"/>
                <w:b/>
                <w:color w:val="000000"/>
              </w:rPr>
            </w:pPr>
          </w:p>
        </w:tc>
      </w:tr>
      <w:tr w:rsidR="003858DB" w:rsidTr="003858DB">
        <w:trPr>
          <w:trHeight w:val="2415"/>
        </w:trPr>
        <w:tc>
          <w:tcPr>
            <w:tcW w:w="10755" w:type="dxa"/>
          </w:tcPr>
          <w:p w:rsidR="003858DB" w:rsidRDefault="003858DB" w:rsidP="003858DB">
            <w:r>
              <w:t>W przypadku studentów ze szczególnymi potrzebami, w tym: z niepełnosprawnością, przewlekle chorych, określone powyżej (w karcie) metody i formy weryfikacji efektów uczenia się dostosowuje się odpowiednio do indywidualnych potrzeb tych studentów.</w:t>
            </w:r>
          </w:p>
          <w:p w:rsidR="003858DB" w:rsidRDefault="003858DB" w:rsidP="003858DB"/>
          <w:p w:rsidR="003858DB" w:rsidRDefault="003858DB" w:rsidP="003858DB">
            <w:r>
              <w:t>Szczegółowe zasady i formy wsparcia studentów ze szczególnymi potrzebami: w tym z niepełnosprawnością, przewlekle chorych podczas zajęć, zaliczeń i egzaminów określono w: Regulaminie Studiów, Zasadach Studiowania, Procedurze dotyczącej zapewnienia dostępności procesu kształcenia studentom ze szczególnymi potrzebami, w tym: z niepełnosprawnością, przewlekle chorych.</w:t>
            </w:r>
          </w:p>
          <w:p w:rsidR="003858DB" w:rsidRDefault="003858DB" w:rsidP="003858DB">
            <w:pPr>
              <w:spacing w:before="96"/>
              <w:ind w:right="1"/>
              <w:jc w:val="center"/>
              <w:rPr>
                <w:rFonts w:ascii="Times New Roman" w:eastAsia="Times New Roman" w:hAnsi="Times New Roman" w:cs="Times New Roman"/>
                <w:b/>
                <w:color w:val="000000"/>
              </w:rPr>
            </w:pPr>
          </w:p>
        </w:tc>
      </w:tr>
    </w:tbl>
    <w:p w:rsidR="00143542" w:rsidRDefault="00143542">
      <w:pPr>
        <w:spacing w:before="10"/>
        <w:rPr>
          <w:rFonts w:ascii="Times New Roman" w:eastAsia="Times New Roman" w:hAnsi="Times New Roman" w:cs="Times New Roman"/>
          <w:sz w:val="27"/>
          <w:szCs w:val="27"/>
        </w:rPr>
      </w:pPr>
    </w:p>
    <w:p w:rsidR="00143542" w:rsidRDefault="00143542">
      <w:pPr>
        <w:ind w:left="111"/>
        <w:rPr>
          <w:rFonts w:ascii="Times New Roman" w:eastAsia="Times New Roman" w:hAnsi="Times New Roman" w:cs="Times New Roman"/>
          <w:sz w:val="20"/>
          <w:szCs w:val="20"/>
        </w:rPr>
      </w:pPr>
    </w:p>
    <w:sectPr w:rsidR="00143542">
      <w:pgSz w:w="11906" w:h="16838"/>
      <w:pgMar w:top="460" w:right="440" w:bottom="280" w:left="440" w:header="0" w:footer="0" w:gutter="0"/>
      <w:cols w:space="708"/>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charset w:val="01"/>
    <w:family w:val="swiss"/>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51227"/>
    <w:multiLevelType w:val="multilevel"/>
    <w:tmpl w:val="177AEB2E"/>
    <w:lvl w:ilvl="0">
      <w:start w:val="1"/>
      <w:numFmt w:val="bullet"/>
      <w:lvlText w:val="●"/>
      <w:lvlJc w:val="left"/>
      <w:pPr>
        <w:tabs>
          <w:tab w:val="num" w:pos="0"/>
        </w:tabs>
        <w:ind w:left="1440" w:hanging="360"/>
      </w:pPr>
      <w:rPr>
        <w:rFonts w:ascii="Noto Sans Symbols" w:hAnsi="Noto Sans Symbols" w:cs="Noto Sans Symbols" w:hint="default"/>
      </w:rPr>
    </w:lvl>
    <w:lvl w:ilvl="1">
      <w:start w:val="1"/>
      <w:numFmt w:val="decimal"/>
      <w:lvlText w:val="%2."/>
      <w:lvlJc w:val="left"/>
      <w:pPr>
        <w:tabs>
          <w:tab w:val="num" w:pos="0"/>
        </w:tabs>
        <w:ind w:left="1440" w:hanging="360"/>
      </w:p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 w15:restartNumberingAfterBreak="0">
    <w:nsid w:val="0F0C7305"/>
    <w:multiLevelType w:val="multilevel"/>
    <w:tmpl w:val="AEFEC3AE"/>
    <w:lvl w:ilvl="0">
      <w:start w:val="1"/>
      <w:numFmt w:val="decimal"/>
      <w:lvlText w:val="%1."/>
      <w:lvlJc w:val="left"/>
      <w:pPr>
        <w:tabs>
          <w:tab w:val="num" w:pos="0"/>
        </w:tabs>
        <w:ind w:left="416" w:hanging="284"/>
      </w:pPr>
      <w:rPr>
        <w:rFonts w:ascii="Times New Roman" w:eastAsia="Times New Roman" w:hAnsi="Times New Roman" w:cs="Times New Roman"/>
        <w:i/>
        <w:sz w:val="20"/>
        <w:szCs w:val="20"/>
      </w:rPr>
    </w:lvl>
    <w:lvl w:ilvl="1">
      <w:start w:val="1"/>
      <w:numFmt w:val="bullet"/>
      <w:lvlText w:val=""/>
      <w:lvlJc w:val="left"/>
      <w:pPr>
        <w:tabs>
          <w:tab w:val="num" w:pos="0"/>
        </w:tabs>
        <w:ind w:left="1252" w:hanging="283"/>
      </w:pPr>
      <w:rPr>
        <w:rFonts w:ascii="Symbol" w:hAnsi="Symbol" w:cs="Symbol" w:hint="default"/>
      </w:rPr>
    </w:lvl>
    <w:lvl w:ilvl="2">
      <w:start w:val="1"/>
      <w:numFmt w:val="bullet"/>
      <w:lvlText w:val=""/>
      <w:lvlJc w:val="left"/>
      <w:pPr>
        <w:tabs>
          <w:tab w:val="num" w:pos="0"/>
        </w:tabs>
        <w:ind w:left="2088" w:hanging="284"/>
      </w:pPr>
      <w:rPr>
        <w:rFonts w:ascii="Symbol" w:hAnsi="Symbol" w:cs="Symbol" w:hint="default"/>
      </w:rPr>
    </w:lvl>
    <w:lvl w:ilvl="3">
      <w:start w:val="1"/>
      <w:numFmt w:val="bullet"/>
      <w:lvlText w:val=""/>
      <w:lvlJc w:val="left"/>
      <w:pPr>
        <w:tabs>
          <w:tab w:val="num" w:pos="0"/>
        </w:tabs>
        <w:ind w:left="2924" w:hanging="284"/>
      </w:pPr>
      <w:rPr>
        <w:rFonts w:ascii="Symbol" w:hAnsi="Symbol" w:cs="Symbol" w:hint="default"/>
      </w:rPr>
    </w:lvl>
    <w:lvl w:ilvl="4">
      <w:start w:val="1"/>
      <w:numFmt w:val="bullet"/>
      <w:lvlText w:val=""/>
      <w:lvlJc w:val="left"/>
      <w:pPr>
        <w:tabs>
          <w:tab w:val="num" w:pos="0"/>
        </w:tabs>
        <w:ind w:left="3760" w:hanging="284"/>
      </w:pPr>
      <w:rPr>
        <w:rFonts w:ascii="Symbol" w:hAnsi="Symbol" w:cs="Symbol" w:hint="default"/>
      </w:rPr>
    </w:lvl>
    <w:lvl w:ilvl="5">
      <w:start w:val="1"/>
      <w:numFmt w:val="bullet"/>
      <w:lvlText w:val=""/>
      <w:lvlJc w:val="left"/>
      <w:pPr>
        <w:tabs>
          <w:tab w:val="num" w:pos="0"/>
        </w:tabs>
        <w:ind w:left="4596" w:hanging="284"/>
      </w:pPr>
      <w:rPr>
        <w:rFonts w:ascii="Symbol" w:hAnsi="Symbol" w:cs="Symbol" w:hint="default"/>
      </w:rPr>
    </w:lvl>
    <w:lvl w:ilvl="6">
      <w:start w:val="1"/>
      <w:numFmt w:val="bullet"/>
      <w:lvlText w:val=""/>
      <w:lvlJc w:val="left"/>
      <w:pPr>
        <w:tabs>
          <w:tab w:val="num" w:pos="0"/>
        </w:tabs>
        <w:ind w:left="5432" w:hanging="283"/>
      </w:pPr>
      <w:rPr>
        <w:rFonts w:ascii="Symbol" w:hAnsi="Symbol" w:cs="Symbol" w:hint="default"/>
      </w:rPr>
    </w:lvl>
    <w:lvl w:ilvl="7">
      <w:start w:val="1"/>
      <w:numFmt w:val="bullet"/>
      <w:lvlText w:val=""/>
      <w:lvlJc w:val="left"/>
      <w:pPr>
        <w:tabs>
          <w:tab w:val="num" w:pos="0"/>
        </w:tabs>
        <w:ind w:left="6269" w:hanging="284"/>
      </w:pPr>
      <w:rPr>
        <w:rFonts w:ascii="Symbol" w:hAnsi="Symbol" w:cs="Symbol" w:hint="default"/>
      </w:rPr>
    </w:lvl>
    <w:lvl w:ilvl="8">
      <w:start w:val="1"/>
      <w:numFmt w:val="bullet"/>
      <w:lvlText w:val=""/>
      <w:lvlJc w:val="left"/>
      <w:pPr>
        <w:tabs>
          <w:tab w:val="num" w:pos="0"/>
        </w:tabs>
        <w:ind w:left="7105" w:hanging="284"/>
      </w:pPr>
      <w:rPr>
        <w:rFonts w:ascii="Symbol" w:hAnsi="Symbol" w:cs="Symbol" w:hint="default"/>
      </w:rPr>
    </w:lvl>
  </w:abstractNum>
  <w:abstractNum w:abstractNumId="2" w15:restartNumberingAfterBreak="0">
    <w:nsid w:val="125B72A3"/>
    <w:multiLevelType w:val="multilevel"/>
    <w:tmpl w:val="6FE89F32"/>
    <w:lvl w:ilvl="0">
      <w:start w:val="1"/>
      <w:numFmt w:val="decimal"/>
      <w:lvlText w:val="%1."/>
      <w:lvlJc w:val="left"/>
      <w:pPr>
        <w:tabs>
          <w:tab w:val="num" w:pos="0"/>
        </w:tabs>
        <w:ind w:left="421" w:hanging="284"/>
      </w:pPr>
      <w:rPr>
        <w:rFonts w:ascii="Times New Roman" w:eastAsia="Times New Roman" w:hAnsi="Times New Roman" w:cs="Times New Roman"/>
        <w:b/>
        <w:i/>
        <w:sz w:val="20"/>
        <w:szCs w:val="20"/>
      </w:rPr>
    </w:lvl>
    <w:lvl w:ilvl="1">
      <w:start w:val="1"/>
      <w:numFmt w:val="bullet"/>
      <w:lvlText w:val="•"/>
      <w:lvlJc w:val="left"/>
      <w:pPr>
        <w:tabs>
          <w:tab w:val="num" w:pos="0"/>
        </w:tabs>
        <w:ind w:left="762" w:hanging="173"/>
      </w:pPr>
      <w:rPr>
        <w:rFonts w:ascii="Times New Roman" w:hAnsi="Times New Roman" w:cs="Times New Roman" w:hint="default"/>
        <w:sz w:val="20"/>
        <w:szCs w:val="20"/>
      </w:rPr>
    </w:lvl>
    <w:lvl w:ilvl="2">
      <w:start w:val="1"/>
      <w:numFmt w:val="bullet"/>
      <w:lvlText w:val=""/>
      <w:lvlJc w:val="left"/>
      <w:pPr>
        <w:tabs>
          <w:tab w:val="num" w:pos="0"/>
        </w:tabs>
        <w:ind w:left="762" w:hanging="173"/>
      </w:pPr>
      <w:rPr>
        <w:rFonts w:ascii="Symbol" w:hAnsi="Symbol" w:cs="Symbol" w:hint="default"/>
      </w:rPr>
    </w:lvl>
    <w:lvl w:ilvl="3">
      <w:start w:val="1"/>
      <w:numFmt w:val="bullet"/>
      <w:lvlText w:val=""/>
      <w:lvlJc w:val="left"/>
      <w:pPr>
        <w:tabs>
          <w:tab w:val="num" w:pos="0"/>
        </w:tabs>
        <w:ind w:left="1764" w:hanging="173"/>
      </w:pPr>
      <w:rPr>
        <w:rFonts w:ascii="Symbol" w:hAnsi="Symbol" w:cs="Symbol" w:hint="default"/>
      </w:rPr>
    </w:lvl>
    <w:lvl w:ilvl="4">
      <w:start w:val="1"/>
      <w:numFmt w:val="bullet"/>
      <w:lvlText w:val=""/>
      <w:lvlJc w:val="left"/>
      <w:pPr>
        <w:tabs>
          <w:tab w:val="num" w:pos="0"/>
        </w:tabs>
        <w:ind w:left="2765" w:hanging="173"/>
      </w:pPr>
      <w:rPr>
        <w:rFonts w:ascii="Symbol" w:hAnsi="Symbol" w:cs="Symbol" w:hint="default"/>
      </w:rPr>
    </w:lvl>
    <w:lvl w:ilvl="5">
      <w:start w:val="1"/>
      <w:numFmt w:val="bullet"/>
      <w:lvlText w:val=""/>
      <w:lvlJc w:val="left"/>
      <w:pPr>
        <w:tabs>
          <w:tab w:val="num" w:pos="0"/>
        </w:tabs>
        <w:ind w:left="3767" w:hanging="173"/>
      </w:pPr>
      <w:rPr>
        <w:rFonts w:ascii="Symbol" w:hAnsi="Symbol" w:cs="Symbol" w:hint="default"/>
      </w:rPr>
    </w:lvl>
    <w:lvl w:ilvl="6">
      <w:start w:val="1"/>
      <w:numFmt w:val="bullet"/>
      <w:lvlText w:val=""/>
      <w:lvlJc w:val="left"/>
      <w:pPr>
        <w:tabs>
          <w:tab w:val="num" w:pos="0"/>
        </w:tabs>
        <w:ind w:left="4769" w:hanging="173"/>
      </w:pPr>
      <w:rPr>
        <w:rFonts w:ascii="Symbol" w:hAnsi="Symbol" w:cs="Symbol" w:hint="default"/>
      </w:rPr>
    </w:lvl>
    <w:lvl w:ilvl="7">
      <w:start w:val="1"/>
      <w:numFmt w:val="bullet"/>
      <w:lvlText w:val=""/>
      <w:lvlJc w:val="left"/>
      <w:pPr>
        <w:tabs>
          <w:tab w:val="num" w:pos="0"/>
        </w:tabs>
        <w:ind w:left="5771" w:hanging="172"/>
      </w:pPr>
      <w:rPr>
        <w:rFonts w:ascii="Symbol" w:hAnsi="Symbol" w:cs="Symbol" w:hint="default"/>
      </w:rPr>
    </w:lvl>
    <w:lvl w:ilvl="8">
      <w:start w:val="1"/>
      <w:numFmt w:val="bullet"/>
      <w:lvlText w:val=""/>
      <w:lvlJc w:val="left"/>
      <w:pPr>
        <w:tabs>
          <w:tab w:val="num" w:pos="0"/>
        </w:tabs>
        <w:ind w:left="6773" w:hanging="173"/>
      </w:pPr>
      <w:rPr>
        <w:rFonts w:ascii="Symbol" w:hAnsi="Symbol" w:cs="Symbol" w:hint="default"/>
      </w:rPr>
    </w:lvl>
  </w:abstractNum>
  <w:abstractNum w:abstractNumId="3" w15:restartNumberingAfterBreak="0">
    <w:nsid w:val="28E64CE8"/>
    <w:multiLevelType w:val="multilevel"/>
    <w:tmpl w:val="623ABEA6"/>
    <w:lvl w:ilvl="0">
      <w:start w:val="1"/>
      <w:numFmt w:val="decimal"/>
      <w:lvlText w:val="%1."/>
      <w:lvlJc w:val="left"/>
      <w:pPr>
        <w:tabs>
          <w:tab w:val="num" w:pos="0"/>
        </w:tabs>
        <w:ind w:left="421" w:hanging="284"/>
      </w:pPr>
      <w:rPr>
        <w:rFonts w:ascii="Times New Roman" w:eastAsia="Times New Roman" w:hAnsi="Times New Roman" w:cs="Times New Roman"/>
        <w:b/>
        <w:i/>
        <w:sz w:val="20"/>
        <w:szCs w:val="20"/>
      </w:rPr>
    </w:lvl>
    <w:lvl w:ilvl="1">
      <w:start w:val="1"/>
      <w:numFmt w:val="bullet"/>
      <w:lvlText w:val="•"/>
      <w:lvlJc w:val="left"/>
      <w:pPr>
        <w:tabs>
          <w:tab w:val="num" w:pos="0"/>
        </w:tabs>
        <w:ind w:left="762" w:hanging="173"/>
      </w:pPr>
      <w:rPr>
        <w:rFonts w:ascii="Times New Roman" w:hAnsi="Times New Roman" w:cs="Times New Roman" w:hint="default"/>
        <w:sz w:val="20"/>
        <w:szCs w:val="20"/>
      </w:rPr>
    </w:lvl>
    <w:lvl w:ilvl="2">
      <w:start w:val="1"/>
      <w:numFmt w:val="bullet"/>
      <w:lvlText w:val=""/>
      <w:lvlJc w:val="left"/>
      <w:pPr>
        <w:tabs>
          <w:tab w:val="num" w:pos="0"/>
        </w:tabs>
        <w:ind w:left="1652" w:hanging="173"/>
      </w:pPr>
      <w:rPr>
        <w:rFonts w:ascii="Symbol" w:hAnsi="Symbol" w:cs="Symbol" w:hint="default"/>
      </w:rPr>
    </w:lvl>
    <w:lvl w:ilvl="3">
      <w:start w:val="1"/>
      <w:numFmt w:val="bullet"/>
      <w:lvlText w:val=""/>
      <w:lvlJc w:val="left"/>
      <w:pPr>
        <w:tabs>
          <w:tab w:val="num" w:pos="0"/>
        </w:tabs>
        <w:ind w:left="2543" w:hanging="173"/>
      </w:pPr>
      <w:rPr>
        <w:rFonts w:ascii="Symbol" w:hAnsi="Symbol" w:cs="Symbol" w:hint="default"/>
      </w:rPr>
    </w:lvl>
    <w:lvl w:ilvl="4">
      <w:start w:val="1"/>
      <w:numFmt w:val="bullet"/>
      <w:lvlText w:val=""/>
      <w:lvlJc w:val="left"/>
      <w:pPr>
        <w:tabs>
          <w:tab w:val="num" w:pos="0"/>
        </w:tabs>
        <w:ind w:left="3433" w:hanging="173"/>
      </w:pPr>
      <w:rPr>
        <w:rFonts w:ascii="Symbol" w:hAnsi="Symbol" w:cs="Symbol" w:hint="default"/>
      </w:rPr>
    </w:lvl>
    <w:lvl w:ilvl="5">
      <w:start w:val="1"/>
      <w:numFmt w:val="bullet"/>
      <w:lvlText w:val=""/>
      <w:lvlJc w:val="left"/>
      <w:pPr>
        <w:tabs>
          <w:tab w:val="num" w:pos="0"/>
        </w:tabs>
        <w:ind w:left="4324" w:hanging="173"/>
      </w:pPr>
      <w:rPr>
        <w:rFonts w:ascii="Symbol" w:hAnsi="Symbol" w:cs="Symbol" w:hint="default"/>
      </w:rPr>
    </w:lvl>
    <w:lvl w:ilvl="6">
      <w:start w:val="1"/>
      <w:numFmt w:val="bullet"/>
      <w:lvlText w:val=""/>
      <w:lvlJc w:val="left"/>
      <w:pPr>
        <w:tabs>
          <w:tab w:val="num" w:pos="0"/>
        </w:tabs>
        <w:ind w:left="5214" w:hanging="173"/>
      </w:pPr>
      <w:rPr>
        <w:rFonts w:ascii="Symbol" w:hAnsi="Symbol" w:cs="Symbol" w:hint="default"/>
      </w:rPr>
    </w:lvl>
    <w:lvl w:ilvl="7">
      <w:start w:val="1"/>
      <w:numFmt w:val="bullet"/>
      <w:lvlText w:val=""/>
      <w:lvlJc w:val="left"/>
      <w:pPr>
        <w:tabs>
          <w:tab w:val="num" w:pos="0"/>
        </w:tabs>
        <w:ind w:left="6105" w:hanging="173"/>
      </w:pPr>
      <w:rPr>
        <w:rFonts w:ascii="Symbol" w:hAnsi="Symbol" w:cs="Symbol" w:hint="default"/>
      </w:rPr>
    </w:lvl>
    <w:lvl w:ilvl="8">
      <w:start w:val="1"/>
      <w:numFmt w:val="bullet"/>
      <w:lvlText w:val=""/>
      <w:lvlJc w:val="left"/>
      <w:pPr>
        <w:tabs>
          <w:tab w:val="num" w:pos="0"/>
        </w:tabs>
        <w:ind w:left="6996" w:hanging="172"/>
      </w:pPr>
      <w:rPr>
        <w:rFonts w:ascii="Symbol" w:hAnsi="Symbol" w:cs="Symbol" w:hint="default"/>
      </w:rPr>
    </w:lvl>
  </w:abstractNum>
  <w:abstractNum w:abstractNumId="4" w15:restartNumberingAfterBreak="0">
    <w:nsid w:val="34641AF6"/>
    <w:multiLevelType w:val="multilevel"/>
    <w:tmpl w:val="F9FCFCF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A6B5DFD"/>
    <w:multiLevelType w:val="multilevel"/>
    <w:tmpl w:val="D578E20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3695221"/>
    <w:multiLevelType w:val="multilevel"/>
    <w:tmpl w:val="220A621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B270E7"/>
    <w:multiLevelType w:val="multilevel"/>
    <w:tmpl w:val="44EC5D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BA07A3C"/>
    <w:multiLevelType w:val="multilevel"/>
    <w:tmpl w:val="208268EA"/>
    <w:lvl w:ilvl="0">
      <w:start w:val="1"/>
      <w:numFmt w:val="decimal"/>
      <w:lvlText w:val="%1."/>
      <w:lvlJc w:val="left"/>
      <w:pPr>
        <w:tabs>
          <w:tab w:val="num" w:pos="0"/>
        </w:tabs>
        <w:ind w:left="421" w:hanging="284"/>
      </w:pPr>
      <w:rPr>
        <w:rFonts w:ascii="Times New Roman" w:eastAsia="Times New Roman" w:hAnsi="Times New Roman" w:cs="Times New Roman"/>
        <w:i/>
        <w:sz w:val="20"/>
        <w:szCs w:val="20"/>
      </w:rPr>
    </w:lvl>
    <w:lvl w:ilvl="1">
      <w:start w:val="1"/>
      <w:numFmt w:val="bullet"/>
      <w:lvlText w:val=""/>
      <w:lvlJc w:val="left"/>
      <w:pPr>
        <w:tabs>
          <w:tab w:val="num" w:pos="0"/>
        </w:tabs>
        <w:ind w:left="1257" w:hanging="283"/>
      </w:pPr>
      <w:rPr>
        <w:rFonts w:ascii="Symbol" w:hAnsi="Symbol" w:cs="Symbol" w:hint="default"/>
      </w:rPr>
    </w:lvl>
    <w:lvl w:ilvl="2">
      <w:start w:val="1"/>
      <w:numFmt w:val="bullet"/>
      <w:lvlText w:val=""/>
      <w:lvlJc w:val="left"/>
      <w:pPr>
        <w:tabs>
          <w:tab w:val="num" w:pos="0"/>
        </w:tabs>
        <w:ind w:left="2092" w:hanging="284"/>
      </w:pPr>
      <w:rPr>
        <w:rFonts w:ascii="Symbol" w:hAnsi="Symbol" w:cs="Symbol" w:hint="default"/>
      </w:rPr>
    </w:lvl>
    <w:lvl w:ilvl="3">
      <w:start w:val="1"/>
      <w:numFmt w:val="bullet"/>
      <w:lvlText w:val=""/>
      <w:lvlJc w:val="left"/>
      <w:pPr>
        <w:tabs>
          <w:tab w:val="num" w:pos="0"/>
        </w:tabs>
        <w:ind w:left="2928" w:hanging="283"/>
      </w:pPr>
      <w:rPr>
        <w:rFonts w:ascii="Symbol" w:hAnsi="Symbol" w:cs="Symbol" w:hint="default"/>
      </w:rPr>
    </w:lvl>
    <w:lvl w:ilvl="4">
      <w:start w:val="1"/>
      <w:numFmt w:val="bullet"/>
      <w:lvlText w:val=""/>
      <w:lvlJc w:val="left"/>
      <w:pPr>
        <w:tabs>
          <w:tab w:val="num" w:pos="0"/>
        </w:tabs>
        <w:ind w:left="3763" w:hanging="283"/>
      </w:pPr>
      <w:rPr>
        <w:rFonts w:ascii="Symbol" w:hAnsi="Symbol" w:cs="Symbol" w:hint="default"/>
      </w:rPr>
    </w:lvl>
    <w:lvl w:ilvl="5">
      <w:start w:val="1"/>
      <w:numFmt w:val="bullet"/>
      <w:lvlText w:val=""/>
      <w:lvlJc w:val="left"/>
      <w:pPr>
        <w:tabs>
          <w:tab w:val="num" w:pos="0"/>
        </w:tabs>
        <w:ind w:left="4599" w:hanging="284"/>
      </w:pPr>
      <w:rPr>
        <w:rFonts w:ascii="Symbol" w:hAnsi="Symbol" w:cs="Symbol" w:hint="default"/>
      </w:rPr>
    </w:lvl>
    <w:lvl w:ilvl="6">
      <w:start w:val="1"/>
      <w:numFmt w:val="bullet"/>
      <w:lvlText w:val=""/>
      <w:lvlJc w:val="left"/>
      <w:pPr>
        <w:tabs>
          <w:tab w:val="num" w:pos="0"/>
        </w:tabs>
        <w:ind w:left="5434" w:hanging="284"/>
      </w:pPr>
      <w:rPr>
        <w:rFonts w:ascii="Symbol" w:hAnsi="Symbol" w:cs="Symbol" w:hint="default"/>
      </w:rPr>
    </w:lvl>
    <w:lvl w:ilvl="7">
      <w:start w:val="1"/>
      <w:numFmt w:val="bullet"/>
      <w:lvlText w:val=""/>
      <w:lvlJc w:val="left"/>
      <w:pPr>
        <w:tabs>
          <w:tab w:val="num" w:pos="0"/>
        </w:tabs>
        <w:ind w:left="6270" w:hanging="284"/>
      </w:pPr>
      <w:rPr>
        <w:rFonts w:ascii="Symbol" w:hAnsi="Symbol" w:cs="Symbol" w:hint="default"/>
      </w:rPr>
    </w:lvl>
    <w:lvl w:ilvl="8">
      <w:start w:val="1"/>
      <w:numFmt w:val="bullet"/>
      <w:lvlText w:val=""/>
      <w:lvlJc w:val="left"/>
      <w:pPr>
        <w:tabs>
          <w:tab w:val="num" w:pos="0"/>
        </w:tabs>
        <w:ind w:left="7106" w:hanging="284"/>
      </w:pPr>
      <w:rPr>
        <w:rFonts w:ascii="Symbol" w:hAnsi="Symbol" w:cs="Symbol" w:hint="default"/>
      </w:rPr>
    </w:lvl>
  </w:abstractNum>
  <w:abstractNum w:abstractNumId="9" w15:restartNumberingAfterBreak="0">
    <w:nsid w:val="65442261"/>
    <w:multiLevelType w:val="multilevel"/>
    <w:tmpl w:val="5792EDE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 w15:restartNumberingAfterBreak="0">
    <w:nsid w:val="676B360B"/>
    <w:multiLevelType w:val="multilevel"/>
    <w:tmpl w:val="FB2C54F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6A80050E"/>
    <w:multiLevelType w:val="multilevel"/>
    <w:tmpl w:val="2D764CDE"/>
    <w:lvl w:ilvl="0">
      <w:start w:val="1"/>
      <w:numFmt w:val="decimal"/>
      <w:lvlText w:val="%1."/>
      <w:lvlJc w:val="left"/>
      <w:pPr>
        <w:tabs>
          <w:tab w:val="num" w:pos="0"/>
        </w:tabs>
        <w:ind w:left="416" w:hanging="284"/>
      </w:pPr>
      <w:rPr>
        <w:rFonts w:ascii="Times New Roman" w:eastAsia="Times New Roman" w:hAnsi="Times New Roman" w:cs="Times New Roman"/>
        <w:i/>
        <w:sz w:val="20"/>
        <w:szCs w:val="20"/>
      </w:rPr>
    </w:lvl>
    <w:lvl w:ilvl="1">
      <w:start w:val="1"/>
      <w:numFmt w:val="bullet"/>
      <w:lvlText w:val=""/>
      <w:lvlJc w:val="left"/>
      <w:pPr>
        <w:tabs>
          <w:tab w:val="num" w:pos="0"/>
        </w:tabs>
        <w:ind w:left="1252" w:hanging="283"/>
      </w:pPr>
      <w:rPr>
        <w:rFonts w:ascii="Symbol" w:hAnsi="Symbol" w:cs="Symbol" w:hint="default"/>
      </w:rPr>
    </w:lvl>
    <w:lvl w:ilvl="2">
      <w:start w:val="1"/>
      <w:numFmt w:val="bullet"/>
      <w:lvlText w:val=""/>
      <w:lvlJc w:val="left"/>
      <w:pPr>
        <w:tabs>
          <w:tab w:val="num" w:pos="0"/>
        </w:tabs>
        <w:ind w:left="2088" w:hanging="284"/>
      </w:pPr>
      <w:rPr>
        <w:rFonts w:ascii="Symbol" w:hAnsi="Symbol" w:cs="Symbol" w:hint="default"/>
      </w:rPr>
    </w:lvl>
    <w:lvl w:ilvl="3">
      <w:start w:val="1"/>
      <w:numFmt w:val="bullet"/>
      <w:lvlText w:val=""/>
      <w:lvlJc w:val="left"/>
      <w:pPr>
        <w:tabs>
          <w:tab w:val="num" w:pos="0"/>
        </w:tabs>
        <w:ind w:left="2924" w:hanging="284"/>
      </w:pPr>
      <w:rPr>
        <w:rFonts w:ascii="Symbol" w:hAnsi="Symbol" w:cs="Symbol" w:hint="default"/>
      </w:rPr>
    </w:lvl>
    <w:lvl w:ilvl="4">
      <w:start w:val="1"/>
      <w:numFmt w:val="bullet"/>
      <w:lvlText w:val=""/>
      <w:lvlJc w:val="left"/>
      <w:pPr>
        <w:tabs>
          <w:tab w:val="num" w:pos="0"/>
        </w:tabs>
        <w:ind w:left="3760" w:hanging="284"/>
      </w:pPr>
      <w:rPr>
        <w:rFonts w:ascii="Symbol" w:hAnsi="Symbol" w:cs="Symbol" w:hint="default"/>
      </w:rPr>
    </w:lvl>
    <w:lvl w:ilvl="5">
      <w:start w:val="1"/>
      <w:numFmt w:val="bullet"/>
      <w:lvlText w:val=""/>
      <w:lvlJc w:val="left"/>
      <w:pPr>
        <w:tabs>
          <w:tab w:val="num" w:pos="0"/>
        </w:tabs>
        <w:ind w:left="4596" w:hanging="284"/>
      </w:pPr>
      <w:rPr>
        <w:rFonts w:ascii="Symbol" w:hAnsi="Symbol" w:cs="Symbol" w:hint="default"/>
      </w:rPr>
    </w:lvl>
    <w:lvl w:ilvl="6">
      <w:start w:val="1"/>
      <w:numFmt w:val="bullet"/>
      <w:lvlText w:val=""/>
      <w:lvlJc w:val="left"/>
      <w:pPr>
        <w:tabs>
          <w:tab w:val="num" w:pos="0"/>
        </w:tabs>
        <w:ind w:left="5432" w:hanging="283"/>
      </w:pPr>
      <w:rPr>
        <w:rFonts w:ascii="Symbol" w:hAnsi="Symbol" w:cs="Symbol" w:hint="default"/>
      </w:rPr>
    </w:lvl>
    <w:lvl w:ilvl="7">
      <w:start w:val="1"/>
      <w:numFmt w:val="bullet"/>
      <w:lvlText w:val=""/>
      <w:lvlJc w:val="left"/>
      <w:pPr>
        <w:tabs>
          <w:tab w:val="num" w:pos="0"/>
        </w:tabs>
        <w:ind w:left="6269" w:hanging="284"/>
      </w:pPr>
      <w:rPr>
        <w:rFonts w:ascii="Symbol" w:hAnsi="Symbol" w:cs="Symbol" w:hint="default"/>
      </w:rPr>
    </w:lvl>
    <w:lvl w:ilvl="8">
      <w:start w:val="1"/>
      <w:numFmt w:val="bullet"/>
      <w:lvlText w:val=""/>
      <w:lvlJc w:val="left"/>
      <w:pPr>
        <w:tabs>
          <w:tab w:val="num" w:pos="0"/>
        </w:tabs>
        <w:ind w:left="7105" w:hanging="284"/>
      </w:pPr>
      <w:rPr>
        <w:rFonts w:ascii="Symbol" w:hAnsi="Symbol" w:cs="Symbol" w:hint="default"/>
      </w:rPr>
    </w:lvl>
  </w:abstractNum>
  <w:num w:numId="1">
    <w:abstractNumId w:val="0"/>
  </w:num>
  <w:num w:numId="2">
    <w:abstractNumId w:val="11"/>
  </w:num>
  <w:num w:numId="3">
    <w:abstractNumId w:val="3"/>
  </w:num>
  <w:num w:numId="4">
    <w:abstractNumId w:val="8"/>
  </w:num>
  <w:num w:numId="5">
    <w:abstractNumId w:val="5"/>
  </w:num>
  <w:num w:numId="6">
    <w:abstractNumId w:val="1"/>
  </w:num>
  <w:num w:numId="7">
    <w:abstractNumId w:val="4"/>
  </w:num>
  <w:num w:numId="8">
    <w:abstractNumId w:val="6"/>
  </w:num>
  <w:num w:numId="9">
    <w:abstractNumId w:val="9"/>
  </w:num>
  <w:num w:numId="10">
    <w:abstractNumId w:val="2"/>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autoHyphenation/>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42"/>
    <w:rsid w:val="00057C25"/>
    <w:rsid w:val="00143542"/>
    <w:rsid w:val="0024219E"/>
    <w:rsid w:val="003858DB"/>
    <w:rsid w:val="00483667"/>
    <w:rsid w:val="005C6390"/>
    <w:rsid w:val="008A0113"/>
    <w:rsid w:val="00A105C3"/>
    <w:rsid w:val="00AC5B6D"/>
    <w:rsid w:val="00CD7B63"/>
    <w:rsid w:val="00E13BA1"/>
    <w:rsid w:val="00F720D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463F14-9BD4-4133-A217-AED831740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pPr>
  </w:style>
  <w:style w:type="paragraph" w:styleId="Nagwek1">
    <w:name w:val="heading 1"/>
    <w:basedOn w:val="Normalny"/>
    <w:uiPriority w:val="9"/>
    <w:qFormat/>
    <w:pPr>
      <w:spacing w:before="59"/>
      <w:ind w:left="3840" w:hanging="3936"/>
      <w:outlineLvl w:val="0"/>
    </w:pPr>
    <w:rPr>
      <w:rFonts w:ascii="Times New Roman" w:eastAsia="Times New Roman" w:hAnsi="Times New Roman"/>
      <w:b/>
      <w:bCs/>
      <w:sz w:val="20"/>
      <w:szCs w:val="20"/>
    </w:rPr>
  </w:style>
  <w:style w:type="paragraph" w:styleId="Nagwek2">
    <w:name w:val="heading 2"/>
    <w:basedOn w:val="Normalny"/>
    <w:uiPriority w:val="9"/>
    <w:semiHidden/>
    <w:unhideWhenUsed/>
    <w:qFormat/>
    <w:pPr>
      <w:spacing w:before="63"/>
      <w:ind w:left="421" w:hanging="283"/>
      <w:outlineLvl w:val="1"/>
    </w:pPr>
    <w:rPr>
      <w:rFonts w:ascii="Times New Roman" w:eastAsia="Times New Roman" w:hAnsi="Times New Roman"/>
      <w:b/>
      <w:bCs/>
      <w:i/>
      <w:sz w:val="20"/>
      <w:szCs w:val="20"/>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uiPriority w:val="1"/>
    <w:qFormat/>
    <w:pPr>
      <w:spacing w:before="58"/>
      <w:ind w:left="762" w:hanging="283"/>
    </w:pPr>
    <w:rPr>
      <w:rFonts w:ascii="Times New Roman" w:eastAsia="Times New Roman" w:hAnsi="Times New Roman"/>
      <w:i/>
      <w:sz w:val="20"/>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uiPriority w:val="10"/>
    <w:qFormat/>
    <w:pPr>
      <w:keepNext/>
      <w:keepLines/>
      <w:spacing w:before="480" w:after="120"/>
    </w:pPr>
    <w:rPr>
      <w:b/>
      <w:sz w:val="72"/>
      <w:szCs w:val="72"/>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customStyle="1" w:styleId="Zawartoramki">
    <w:name w:val="Zawartość ramki"/>
    <w:basedOn w:val="Normalny"/>
    <w:qFormat/>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batycki@uthrad.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2KRoswnOpIFsgdMmnc9XfmRUV5w==">CgMxLjA4AHIhMW5lVEpRb2xRMW9CTXNBMTVpQ3RJMTc1S1F6djZHOWVw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3631</Words>
  <Characters>21792</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Online2PDF.com</dc:creator>
  <dc:description/>
  <cp:lastModifiedBy>Anna Kowalska</cp:lastModifiedBy>
  <cp:revision>3</cp:revision>
  <dcterms:created xsi:type="dcterms:W3CDTF">2026-07-21T08:44:00Z</dcterms:created>
  <dcterms:modified xsi:type="dcterms:W3CDTF">2026-08-04T11:09:00Z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2024-05-10T00:00:00Z</vt:lpwstr>
  </property>
  <property fmtid="{D5CDD505-2E9C-101B-9397-08002B2CF9AE}" pid="3" name="LastSaved">
    <vt:lpwstr>2024-05-10T00:00:00Z</vt:lpwstr>
  </property>
</Properties>
</file>